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sec-materials-and-methods"/>
    <w:p>
      <w:pPr>
        <w:pStyle w:val="Heading1"/>
      </w:pPr>
      <w:r>
        <w:t xml:space="preserve">1. Materials and Methods</w:t>
      </w:r>
    </w:p>
    <w:bookmarkStart w:id="9" w:name="X2a96c2427ceb6b998508f67b3ec6e8131f2af39"/>
    <w:p>
      <w:pPr>
        <w:pStyle w:val="Heading2"/>
      </w:pPr>
      <w:r>
        <w:t xml:space="preserve">1.1 The Long-Term Phosphorus Fertilization Experiment</w:t>
      </w:r>
    </w:p>
    <w:p>
      <w:pPr>
        <w:pStyle w:val="FirstParagraph"/>
      </w:pPr>
      <w:r>
        <w:t xml:space="preserve">The soil samples for this thesis originate from a set of six long-term field trials in Switzerland, established by Agroscope between 1989 and 1992. The primary objective of these experiments was to validate and re-evaluate Swiss phosphorus (P) fertilization guidelines by assessing long-term crop yield responses to varying P inputs across different pedoclimatic conditions. A detailed description of the experimental design and site characteristics can be found in</w:t>
      </w:r>
      <w:r>
        <w:t xml:space="preserve"> </w:t>
      </w:r>
      <w:r>
        <w:t xml:space="preserve">Hirte et al. (2021)</w:t>
      </w:r>
      <w:r>
        <w:t xml:space="preserve">.</w:t>
      </w:r>
    </w:p>
    <w:p>
      <w:pPr>
        <w:pStyle w:val="BodyText"/>
      </w:pPr>
      <w:r>
        <w:t xml:space="preserve">The experiment was set up as a</w:t>
      </w:r>
      <w:r>
        <w:t xml:space="preserve"> </w:t>
      </w:r>
      <w:r>
        <w:rPr>
          <w:b/>
          <w:bCs/>
        </w:rPr>
        <w:t xml:space="preserve">completely randomized block design</w:t>
      </w:r>
      <w:r>
        <w:t xml:space="preserve"> </w:t>
      </w:r>
      <w:r>
        <w:t xml:space="preserve">with four field replications at each site. The core of the experiment consists of six fixed-plot treatments representing different P fertilization levels, which were applied annually as superphosphate before tillage and sowing. These levels were based on percentages of the officially recommended P inputs: 0% (Zero), 33% (Deficit), 67% (Reduced), 100% (Norm), 133% (Elevated), and 167% (Surplus).</w:t>
      </w:r>
    </w:p>
    <w:bookmarkEnd w:id="9"/>
    <w:bookmarkStart w:id="11" w:name="sec-experimental-sites"/>
    <w:p>
      <w:pPr>
        <w:pStyle w:val="Heading2"/>
      </w:pPr>
      <w:r>
        <w:t xml:space="preserve">1.2 Experimental Sites</w:t>
      </w:r>
    </w:p>
    <w:p>
      <w:pPr>
        <w:pStyle w:val="FirstParagraph"/>
      </w:pPr>
      <w:r>
        <w:t xml:space="preserve">The six experimental sites are located in the main crop-growing regions of Switzerland:</w:t>
      </w:r>
      <w:r>
        <w:t xml:space="preserve"> </w:t>
      </w:r>
      <w:r>
        <w:rPr>
          <w:b/>
          <w:bCs/>
        </w:rPr>
        <w:t xml:space="preserve">Rümlang-Altwi (ALT)</w:t>
      </w:r>
      <w:r>
        <w:t xml:space="preserve">,</w:t>
      </w:r>
      <w:r>
        <w:t xml:space="preserve"> </w:t>
      </w:r>
      <w:r>
        <w:rPr>
          <w:b/>
          <w:bCs/>
        </w:rPr>
        <w:t xml:space="preserve">Cadenazzo (CAD)</w:t>
      </w:r>
      <w:r>
        <w:t xml:space="preserve">,</w:t>
      </w:r>
      <w:r>
        <w:t xml:space="preserve"> </w:t>
      </w:r>
      <w:r>
        <w:rPr>
          <w:b/>
          <w:bCs/>
        </w:rPr>
        <w:t xml:space="preserve">Ellighausen (ELL)</w:t>
      </w:r>
      <w:r>
        <w:t xml:space="preserve">,</w:t>
      </w:r>
      <w:r>
        <w:t xml:space="preserve"> </w:t>
      </w:r>
      <w:r>
        <w:rPr>
          <w:b/>
          <w:bCs/>
        </w:rPr>
        <w:t xml:space="preserve">Grabs (GRA)</w:t>
      </w:r>
      <w:r>
        <w:t xml:space="preserve">,</w:t>
      </w:r>
      <w:r>
        <w:t xml:space="preserve"> </w:t>
      </w:r>
      <w:r>
        <w:rPr>
          <w:b/>
          <w:bCs/>
        </w:rPr>
        <w:t xml:space="preserve">Oensingen (OEN)</w:t>
      </w:r>
      <w:r>
        <w:t xml:space="preserve">, and</w:t>
      </w:r>
      <w:r>
        <w:t xml:space="preserve"> </w:t>
      </w:r>
      <w:r>
        <w:rPr>
          <w:b/>
          <w:bCs/>
        </w:rPr>
        <w:t xml:space="preserve">Zurich-Reckenholz (REC)</w:t>
      </w:r>
      <w:r>
        <w:t xml:space="preserve">. The key soil properties are summarized below.</w:t>
      </w:r>
    </w:p>
    <w:p>
      <w:pPr>
        <w:pStyle w:val="SourceCode"/>
      </w:pPr>
      <w:r>
        <w:rPr>
          <w:rStyle w:val="NormalTok"/>
        </w:rPr>
        <w:t xml:space="preserve">sites_df_corrected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Site =</w:t>
      </w:r>
      <w:r>
        <w:rPr>
          <w:rStyle w:val="NormalTok"/>
        </w:rPr>
        <w:t xml:space="preserve"> </w:t>
      </w:r>
      <w:r>
        <w:rPr>
          <w:rStyle w:val="FunctionTok"/>
        </w:rPr>
        <w:t xml:space="preserve">c</w:t>
      </w:r>
      <w:r>
        <w:rPr>
          <w:rStyle w:val="NormalTok"/>
        </w:rPr>
        <w:t xml:space="preserve">(</w:t>
      </w:r>
      <w:r>
        <w:rPr>
          <w:rStyle w:val="StringTok"/>
        </w:rPr>
        <w:t xml:space="preserve">"ALT"</w:t>
      </w:r>
      <w:r>
        <w:rPr>
          <w:rStyle w:val="NormalTok"/>
        </w:rPr>
        <w:t xml:space="preserve">, </w:t>
      </w:r>
      <w:r>
        <w:rPr>
          <w:rStyle w:val="StringTok"/>
        </w:rPr>
        <w:t xml:space="preserve">"CAD"</w:t>
      </w:r>
      <w:r>
        <w:rPr>
          <w:rStyle w:val="NormalTok"/>
        </w:rPr>
        <w:t xml:space="preserve">, </w:t>
      </w:r>
      <w:r>
        <w:rPr>
          <w:rStyle w:val="StringTok"/>
        </w:rPr>
        <w:t xml:space="preserve">"ELL"</w:t>
      </w:r>
      <w:r>
        <w:rPr>
          <w:rStyle w:val="NormalTok"/>
        </w:rPr>
        <w:t xml:space="preserve">, </w:t>
      </w:r>
      <w:r>
        <w:rPr>
          <w:rStyle w:val="StringTok"/>
        </w:rPr>
        <w:t xml:space="preserve">"GRA"</w:t>
      </w:r>
      <w:r>
        <w:rPr>
          <w:rStyle w:val="NormalTok"/>
        </w:rPr>
        <w:t xml:space="preserve">, </w:t>
      </w:r>
      <w:r>
        <w:rPr>
          <w:rStyle w:val="StringTok"/>
        </w:rPr>
        <w:t xml:space="preserve">"OEN"</w:t>
      </w:r>
      <w:r>
        <w:rPr>
          <w:rStyle w:val="NormalTok"/>
        </w:rPr>
        <w:t xml:space="preserve">, </w:t>
      </w:r>
      <w:r>
        <w:rPr>
          <w:rStyle w:val="StringTok"/>
        </w:rPr>
        <w:t xml:space="preserve">"REC"</w:t>
      </w:r>
      <w:r>
        <w:rPr>
          <w:rStyle w:val="NormalTok"/>
        </w:rPr>
        <w:t xml:space="preserve">),</w:t>
      </w:r>
      <w:r>
        <w:br/>
      </w:r>
      <w:r>
        <w:rPr>
          <w:rStyle w:val="NormalTok"/>
        </w:rPr>
        <w:t xml:space="preserve">  </w:t>
      </w:r>
      <w:r>
        <w:rPr>
          <w:rStyle w:val="StringTok"/>
        </w:rPr>
        <w:t xml:space="preserve">`</w:t>
      </w:r>
      <w:r>
        <w:rPr>
          <w:rStyle w:val="AttributeTok"/>
        </w:rPr>
        <w:t xml:space="preserve">Soil Type (WRB)</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"Calcaric Cambisol"</w:t>
      </w:r>
      <w:r>
        <w:rPr>
          <w:rStyle w:val="NormalTok"/>
        </w:rPr>
        <w:t xml:space="preserve">, </w:t>
      </w:r>
      <w:r>
        <w:rPr>
          <w:rStyle w:val="StringTok"/>
        </w:rPr>
        <w:t xml:space="preserve">"Eutric Fluvisol"</w:t>
      </w:r>
      <w:r>
        <w:rPr>
          <w:rStyle w:val="NormalTok"/>
        </w:rPr>
        <w:t xml:space="preserve">, </w:t>
      </w:r>
      <w:r>
        <w:rPr>
          <w:rStyle w:val="StringTok"/>
        </w:rPr>
        <w:t xml:space="preserve">"Eutric Cambisol"</w:t>
      </w:r>
      <w:r>
        <w:rPr>
          <w:rStyle w:val="NormalTok"/>
        </w:rPr>
        <w:t xml:space="preserve">, </w:t>
      </w:r>
      <w:r>
        <w:rPr>
          <w:rStyle w:val="StringTok"/>
        </w:rPr>
        <w:t xml:space="preserve">"Calcaric Fluvisol"</w:t>
      </w:r>
      <w:r>
        <w:rPr>
          <w:rStyle w:val="NormalTok"/>
        </w:rPr>
        <w:t xml:space="preserve">, </w:t>
      </w:r>
      <w:r>
        <w:rPr>
          <w:rStyle w:val="StringTok"/>
        </w:rPr>
        <w:t xml:space="preserve">"Gleyic-calc. Cambisol"</w:t>
      </w:r>
      <w:r>
        <w:rPr>
          <w:rStyle w:val="NormalTok"/>
        </w:rPr>
        <w:t xml:space="preserve">, </w:t>
      </w:r>
      <w:r>
        <w:rPr>
          <w:rStyle w:val="StringTok"/>
        </w:rPr>
        <w:t xml:space="preserve">"Eutric Gleysol"</w:t>
      </w:r>
      <w:r>
        <w:rPr>
          <w:rStyle w:val="NormalTok"/>
        </w:rPr>
        <w:t xml:space="preserve">),</w:t>
      </w:r>
      <w:r>
        <w:br/>
      </w:r>
      <w:r>
        <w:rPr>
          <w:rStyle w:val="NormalTok"/>
        </w:rPr>
        <w:t xml:space="preserve">  </w:t>
      </w:r>
      <w:r>
        <w:rPr>
          <w:rStyle w:val="StringTok"/>
        </w:rPr>
        <w:t xml:space="preserve">`</w:t>
      </w:r>
      <w:r>
        <w:rPr>
          <w:rStyle w:val="AttributeTok"/>
        </w:rPr>
        <w:t xml:space="preserve">Clay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22</w:t>
      </w:r>
      <w:r>
        <w:rPr>
          <w:rStyle w:val="NormalTok"/>
        </w:rPr>
        <w:t xml:space="preserve">, </w:t>
      </w:r>
      <w:r>
        <w:rPr>
          <w:rStyle w:val="DecValTok"/>
        </w:rPr>
        <w:t xml:space="preserve">8</w:t>
      </w:r>
      <w:r>
        <w:rPr>
          <w:rStyle w:val="NormalTok"/>
        </w:rPr>
        <w:t xml:space="preserve">, </w:t>
      </w:r>
      <w:r>
        <w:rPr>
          <w:rStyle w:val="DecValTok"/>
        </w:rPr>
        <w:t xml:space="preserve">33</w:t>
      </w:r>
      <w:r>
        <w:rPr>
          <w:rStyle w:val="NormalTok"/>
        </w:rPr>
        <w:t xml:space="preserve">, </w:t>
      </w:r>
      <w:r>
        <w:rPr>
          <w:rStyle w:val="DecValTok"/>
        </w:rPr>
        <w:t xml:space="preserve">17</w:t>
      </w:r>
      <w:r>
        <w:rPr>
          <w:rStyle w:val="NormalTok"/>
        </w:rPr>
        <w:t xml:space="preserve">, </w:t>
      </w:r>
      <w:r>
        <w:rPr>
          <w:rStyle w:val="DecValTok"/>
        </w:rPr>
        <w:t xml:space="preserve">37</w:t>
      </w:r>
      <w:r>
        <w:rPr>
          <w:rStyle w:val="NormalTok"/>
        </w:rPr>
        <w:t xml:space="preserve">, </w:t>
      </w:r>
      <w:r>
        <w:rPr>
          <w:rStyle w:val="DecValTok"/>
        </w:rPr>
        <w:t xml:space="preserve">39</w:t>
      </w:r>
      <w:r>
        <w:rPr>
          <w:rStyle w:val="NormalTok"/>
        </w:rPr>
        <w:t xml:space="preserve">),</w:t>
      </w:r>
      <w:r>
        <w:br/>
      </w:r>
      <w:r>
        <w:rPr>
          <w:rStyle w:val="NormalTok"/>
        </w:rPr>
        <w:t xml:space="preserve">  </w:t>
      </w:r>
      <w:r>
        <w:rPr>
          <w:rStyle w:val="StringTok"/>
        </w:rPr>
        <w:t xml:space="preserve">`</w:t>
      </w:r>
      <w:r>
        <w:rPr>
          <w:rStyle w:val="AttributeTok"/>
        </w:rPr>
        <w:t xml:space="preserve">Sand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48</w:t>
      </w:r>
      <w:r>
        <w:rPr>
          <w:rStyle w:val="NormalTok"/>
        </w:rPr>
        <w:t xml:space="preserve">, </w:t>
      </w:r>
      <w:r>
        <w:rPr>
          <w:rStyle w:val="DecValTok"/>
        </w:rPr>
        <w:t xml:space="preserve">40</w:t>
      </w:r>
      <w:r>
        <w:rPr>
          <w:rStyle w:val="NormalTok"/>
        </w:rPr>
        <w:t xml:space="preserve">, </w:t>
      </w:r>
      <w:r>
        <w:rPr>
          <w:rStyle w:val="DecValTok"/>
        </w:rPr>
        <w:t xml:space="preserve">31</w:t>
      </w:r>
      <w:r>
        <w:rPr>
          <w:rStyle w:val="NormalTok"/>
        </w:rPr>
        <w:t xml:space="preserve">, </w:t>
      </w:r>
      <w:r>
        <w:rPr>
          <w:rStyle w:val="DecValTok"/>
        </w:rPr>
        <w:t xml:space="preserve">34</w:t>
      </w:r>
      <w:r>
        <w:rPr>
          <w:rStyle w:val="NormalTok"/>
        </w:rPr>
        <w:t xml:space="preserve">, </w:t>
      </w:r>
      <w:r>
        <w:rPr>
          <w:rStyle w:val="DecValTok"/>
        </w:rPr>
        <w:t xml:space="preserve">32</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StringTok"/>
        </w:rPr>
        <w:t xml:space="preserve">`</w:t>
      </w:r>
      <w:r>
        <w:rPr>
          <w:rStyle w:val="AttributeTok"/>
        </w:rPr>
        <w:t xml:space="preserve">Organic C (g/kg)</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21</w:t>
      </w:r>
      <w:r>
        <w:rPr>
          <w:rStyle w:val="NormalTok"/>
        </w:rPr>
        <w:t xml:space="preserve">, </w:t>
      </w:r>
      <w:r>
        <w:rPr>
          <w:rStyle w:val="DecValTok"/>
        </w:rPr>
        <w:t xml:space="preserve">14</w:t>
      </w:r>
      <w:r>
        <w:rPr>
          <w:rStyle w:val="NormalTok"/>
        </w:rPr>
        <w:t xml:space="preserve">, </w:t>
      </w:r>
      <w:r>
        <w:rPr>
          <w:rStyle w:val="DecValTok"/>
        </w:rPr>
        <w:t xml:space="preserve">23</w:t>
      </w:r>
      <w:r>
        <w:rPr>
          <w:rStyle w:val="NormalTok"/>
        </w:rPr>
        <w:t xml:space="preserve">, </w:t>
      </w:r>
      <w:r>
        <w:rPr>
          <w:rStyle w:val="DecValTok"/>
        </w:rPr>
        <w:t xml:space="preserve">16</w:t>
      </w:r>
      <w:r>
        <w:rPr>
          <w:rStyle w:val="NormalTok"/>
        </w:rPr>
        <w:t xml:space="preserve">, </w:t>
      </w:r>
      <w:r>
        <w:rPr>
          <w:rStyle w:val="DecValTok"/>
        </w:rPr>
        <w:t xml:space="preserve">24</w:t>
      </w:r>
      <w:r>
        <w:rPr>
          <w:rStyle w:val="NormalTok"/>
        </w:rPr>
        <w:t xml:space="preserve">, </w:t>
      </w:r>
      <w:r>
        <w:rPr>
          <w:rStyle w:val="DecValTok"/>
        </w:rPr>
        <w:t xml:space="preserve">27</w:t>
      </w:r>
      <w:r>
        <w:rPr>
          <w:rStyle w:val="NormalTok"/>
        </w:rPr>
        <w:t xml:space="preserve">),</w:t>
      </w:r>
      <w:r>
        <w:br/>
      </w:r>
      <w:r>
        <w:rPr>
          <w:rStyle w:val="NormalTok"/>
        </w:rPr>
        <w:t xml:space="preserve">  </w:t>
      </w:r>
      <w:r>
        <w:rPr>
          <w:rStyle w:val="StringTok"/>
        </w:rPr>
        <w:t xml:space="preserve">`</w:t>
      </w:r>
      <w:r>
        <w:rPr>
          <w:rStyle w:val="AttributeTok"/>
        </w:rPr>
        <w:t xml:space="preserve">pH (H2O)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FloatTok"/>
        </w:rPr>
        <w:t xml:space="preserve">7.9</w:t>
      </w:r>
      <w:r>
        <w:rPr>
          <w:rStyle w:val="NormalTok"/>
        </w:rPr>
        <w:t xml:space="preserve">, </w:t>
      </w:r>
      <w:r>
        <w:rPr>
          <w:rStyle w:val="FloatTok"/>
        </w:rPr>
        <w:t xml:space="preserve">6.3</w:t>
      </w:r>
      <w:r>
        <w:rPr>
          <w:rStyle w:val="NormalTok"/>
        </w:rPr>
        <w:t xml:space="preserve">, </w:t>
      </w:r>
      <w:r>
        <w:rPr>
          <w:rStyle w:val="FloatTok"/>
        </w:rPr>
        <w:t xml:space="preserve">6.6</w:t>
      </w:r>
      <w:r>
        <w:rPr>
          <w:rStyle w:val="NormalTok"/>
        </w:rPr>
        <w:t xml:space="preserve">, </w:t>
      </w:r>
      <w:r>
        <w:rPr>
          <w:rStyle w:val="FloatTok"/>
        </w:rPr>
        <w:t xml:space="preserve">8.3</w:t>
      </w:r>
      <w:r>
        <w:rPr>
          <w:rStyle w:val="NormalTok"/>
        </w:rPr>
        <w:t xml:space="preserve">, </w:t>
      </w:r>
      <w:r>
        <w:rPr>
          <w:rStyle w:val="FloatTok"/>
        </w:rPr>
        <w:t xml:space="preserve">7.1</w:t>
      </w:r>
      <w:r>
        <w:rPr>
          <w:rStyle w:val="NormalTok"/>
        </w:rPr>
        <w:t xml:space="preserve">, </w:t>
      </w:r>
      <w:r>
        <w:rPr>
          <w:rStyle w:val="FloatTok"/>
        </w:rPr>
        <w:t xml:space="preserve">7.4</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br/>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(sites_df_corrected)</w:t>
      </w:r>
    </w:p>
    <w:tbl>
      <w:tblPr>
        <w:tblStyle w:val="Table"/>
        <w:tblW w:type="pct" w:w="5000"/>
        <w:tblLayout w:type="fixed"/>
        <w:tblLook w:firstRow="0" w:lastRow="0" w:firstColumn="0" w:lastColumn="0" w:noHBand="0" w:noVBand="0" w:val="0000"/>
      </w:tblPr>
      <w:tblGrid>
        <w:gridCol w:w="7920"/>
      </w:tblGrid>
      <w:tr>
        <w:tc>
          <w:tcPr/>
          <w:bookmarkStart w:id="10" w:name="tbl-sites-corrected"/>
          <w:p>
            <w:pPr>
              <w:jc w:val="center"/>
            </w:pPr>
            <w:pPr>
              <w:jc w:val="left"/>
              <w:spacing w:before="200"/>
              <w:pStyle w:val="ImageCaption"/>
            </w:pPr>
            <w:r>
              <w:t xml:space="preserve">Table 1: Soil characteristics of the six long-term experimental sites. Data adapted from Hirte et al. (2021).</w:t>
            </w:r>
          </w:p>
          <w:tbl>
            <w:tblPr>
              <w:tblStyle w:val="Table"/>
              <w:tblW w:type="pct" w:w="5000"/>
              <w:tblLayout w:type="fixed"/>
              <w:tblLook w:firstRow="1" w:lastRow="0" w:firstColumn="0" w:lastColumn="0" w:noHBand="0" w:noVBand="0" w:val="0020"/>
            </w:tblPr>
            <w:tblGrid>
              <w:gridCol w:w="557"/>
              <w:gridCol w:w="2454"/>
              <w:gridCol w:w="1003"/>
              <w:gridCol w:w="1003"/>
              <w:gridCol w:w="1896"/>
              <w:gridCol w:w="1003"/>
            </w:tblGrid>
            <w:tr>
              <w:trPr>
                <w:tblHeader w:val="on"/>
              </w:trPr>
              <w:tc>
                <w:tcPr/>
                <w:p>
                  <w:pPr>
                    <w:pStyle w:val="Compact"/>
                    <w:jc w:val="left"/>
                    <w:jc w:val="center"/>
                  </w:pPr>
                  <w:r>
                    <w:t xml:space="preserve">Site</w:t>
                  </w:r>
                </w:p>
              </w:tc>
              <w:tc>
                <w:tcPr/>
                <w:p>
                  <w:pPr>
                    <w:pStyle w:val="Compact"/>
                    <w:jc w:val="left"/>
                    <w:jc w:val="center"/>
                  </w:pPr>
                  <w:r>
                    <w:t xml:space="preserve">Soil Type (WRB)</w:t>
                  </w:r>
                </w:p>
              </w:tc>
              <w:tc>
                <w:tcPr/>
                <w:p>
                  <w:pPr>
                    <w:pStyle w:val="Compact"/>
                    <w:jc w:val="right"/>
                    <w:jc w:val="center"/>
                  </w:pPr>
                  <w:r>
                    <w:t xml:space="preserve">Clay (%)</w:t>
                  </w:r>
                </w:p>
              </w:tc>
              <w:tc>
                <w:tcPr/>
                <w:p>
                  <w:pPr>
                    <w:pStyle w:val="Compact"/>
                    <w:jc w:val="right"/>
                    <w:jc w:val="center"/>
                  </w:pPr>
                  <w:r>
                    <w:t xml:space="preserve">Sand (%)</w:t>
                  </w:r>
                </w:p>
              </w:tc>
              <w:tc>
                <w:tcPr/>
                <w:p>
                  <w:pPr>
                    <w:pStyle w:val="Compact"/>
                    <w:jc w:val="right"/>
                    <w:jc w:val="center"/>
                  </w:pPr>
                  <w:r>
                    <w:t xml:space="preserve">Organic C (g/kg)</w:t>
                  </w:r>
                </w:p>
              </w:tc>
              <w:tc>
                <w:tcPr/>
                <w:p>
                  <w:pPr>
                    <w:pStyle w:val="Compact"/>
                    <w:jc w:val="right"/>
                    <w:jc w:val="center"/>
                  </w:pPr>
                  <w:r>
                    <w:t xml:space="preserve">pH (H2O)</w:t>
                  </w:r>
                </w:p>
              </w:tc>
            </w:tr>
            <w:tr>
              <w:tc>
                <w:tcPr/>
                <w:p>
                  <w:pPr>
                    <w:pStyle w:val="Compact"/>
                    <w:jc w:val="left"/>
                    <w:jc w:val="center"/>
                  </w:pPr>
                  <w:r>
                    <w:t xml:space="preserve">ALT</w:t>
                  </w:r>
                </w:p>
              </w:tc>
              <w:tc>
                <w:tcPr/>
                <w:p>
                  <w:pPr>
                    <w:pStyle w:val="Compact"/>
                    <w:jc w:val="left"/>
                    <w:jc w:val="center"/>
                  </w:pPr>
                  <w:r>
                    <w:t xml:space="preserve">Calcaric Cambisol</w:t>
                  </w:r>
                </w:p>
              </w:tc>
              <w:tc>
                <w:tcPr/>
                <w:p>
                  <w:pPr>
                    <w:pStyle w:val="Compact"/>
                    <w:jc w:val="right"/>
                    <w:jc w:val="center"/>
                  </w:pPr>
                  <w:r>
                    <w:t xml:space="preserve">22</w:t>
                  </w:r>
                </w:p>
              </w:tc>
              <w:tc>
                <w:tcPr/>
                <w:p>
                  <w:pPr>
                    <w:pStyle w:val="Compact"/>
                    <w:jc w:val="right"/>
                    <w:jc w:val="center"/>
                  </w:pPr>
                  <w:r>
                    <w:t xml:space="preserve">48</w:t>
                  </w:r>
                </w:p>
              </w:tc>
              <w:tc>
                <w:tcPr/>
                <w:p>
                  <w:pPr>
                    <w:pStyle w:val="Compact"/>
                    <w:jc w:val="right"/>
                    <w:jc w:val="center"/>
                  </w:pPr>
                  <w:r>
                    <w:t xml:space="preserve">21</w:t>
                  </w:r>
                </w:p>
              </w:tc>
              <w:tc>
                <w:tcPr/>
                <w:p>
                  <w:pPr>
                    <w:pStyle w:val="Compact"/>
                    <w:jc w:val="right"/>
                    <w:jc w:val="center"/>
                  </w:pPr>
                  <w:r>
                    <w:t xml:space="preserve">7.9</w:t>
                  </w:r>
                </w:p>
              </w:tc>
            </w:tr>
            <w:tr>
              <w:tc>
                <w:tcPr/>
                <w:p>
                  <w:pPr>
                    <w:pStyle w:val="Compact"/>
                    <w:jc w:val="left"/>
                    <w:jc w:val="center"/>
                  </w:pPr>
                  <w:r>
                    <w:t xml:space="preserve">CAD</w:t>
                  </w:r>
                </w:p>
              </w:tc>
              <w:tc>
                <w:tcPr/>
                <w:p>
                  <w:pPr>
                    <w:pStyle w:val="Compact"/>
                    <w:jc w:val="left"/>
                    <w:jc w:val="center"/>
                  </w:pPr>
                  <w:r>
                    <w:t xml:space="preserve">Eutric Fluvisol</w:t>
                  </w:r>
                </w:p>
              </w:tc>
              <w:tc>
                <w:tcPr/>
                <w:p>
                  <w:pPr>
                    <w:pStyle w:val="Compact"/>
                    <w:jc w:val="right"/>
                    <w:jc w:val="center"/>
                  </w:pPr>
                  <w:r>
                    <w:t xml:space="preserve">8</w:t>
                  </w:r>
                </w:p>
              </w:tc>
              <w:tc>
                <w:tcPr/>
                <w:p>
                  <w:pPr>
                    <w:pStyle w:val="Compact"/>
                    <w:jc w:val="right"/>
                    <w:jc w:val="center"/>
                  </w:pPr>
                  <w:r>
                    <w:t xml:space="preserve">40</w:t>
                  </w:r>
                </w:p>
              </w:tc>
              <w:tc>
                <w:tcPr/>
                <w:p>
                  <w:pPr>
                    <w:pStyle w:val="Compact"/>
                    <w:jc w:val="right"/>
                    <w:jc w:val="center"/>
                  </w:pPr>
                  <w:r>
                    <w:t xml:space="preserve">14</w:t>
                  </w:r>
                </w:p>
              </w:tc>
              <w:tc>
                <w:tcPr/>
                <w:p>
                  <w:pPr>
                    <w:pStyle w:val="Compact"/>
                    <w:jc w:val="right"/>
                    <w:jc w:val="center"/>
                  </w:pPr>
                  <w:r>
                    <w:t xml:space="preserve">6.3</w:t>
                  </w:r>
                </w:p>
              </w:tc>
            </w:tr>
            <w:tr>
              <w:tc>
                <w:tcPr/>
                <w:p>
                  <w:pPr>
                    <w:pStyle w:val="Compact"/>
                    <w:jc w:val="left"/>
                    <w:jc w:val="center"/>
                  </w:pPr>
                  <w:r>
                    <w:t xml:space="preserve">ELL</w:t>
                  </w:r>
                </w:p>
              </w:tc>
              <w:tc>
                <w:tcPr/>
                <w:p>
                  <w:pPr>
                    <w:pStyle w:val="Compact"/>
                    <w:jc w:val="left"/>
                    <w:jc w:val="center"/>
                  </w:pPr>
                  <w:r>
                    <w:t xml:space="preserve">Eutric Cambisol</w:t>
                  </w:r>
                </w:p>
              </w:tc>
              <w:tc>
                <w:tcPr/>
                <w:p>
                  <w:pPr>
                    <w:pStyle w:val="Compact"/>
                    <w:jc w:val="right"/>
                    <w:jc w:val="center"/>
                  </w:pPr>
                  <w:r>
                    <w:t xml:space="preserve">33</w:t>
                  </w:r>
                </w:p>
              </w:tc>
              <w:tc>
                <w:tcPr/>
                <w:p>
                  <w:pPr>
                    <w:pStyle w:val="Compact"/>
                    <w:jc w:val="right"/>
                    <w:jc w:val="center"/>
                  </w:pPr>
                  <w:r>
                    <w:t xml:space="preserve">31</w:t>
                  </w:r>
                </w:p>
              </w:tc>
              <w:tc>
                <w:tcPr/>
                <w:p>
                  <w:pPr>
                    <w:pStyle w:val="Compact"/>
                    <w:jc w:val="right"/>
                    <w:jc w:val="center"/>
                  </w:pPr>
                  <w:r>
                    <w:t xml:space="preserve">23</w:t>
                  </w:r>
                </w:p>
              </w:tc>
              <w:tc>
                <w:tcPr/>
                <w:p>
                  <w:pPr>
                    <w:pStyle w:val="Compact"/>
                    <w:jc w:val="right"/>
                    <w:jc w:val="center"/>
                  </w:pPr>
                  <w:r>
                    <w:t xml:space="preserve">6.6</w:t>
                  </w:r>
                </w:p>
              </w:tc>
            </w:tr>
            <w:tr>
              <w:tc>
                <w:tcPr/>
                <w:p>
                  <w:pPr>
                    <w:pStyle w:val="Compact"/>
                    <w:jc w:val="left"/>
                    <w:jc w:val="center"/>
                  </w:pPr>
                  <w:r>
                    <w:t xml:space="preserve">GRA</w:t>
                  </w:r>
                </w:p>
              </w:tc>
              <w:tc>
                <w:tcPr/>
                <w:p>
                  <w:pPr>
                    <w:pStyle w:val="Compact"/>
                    <w:jc w:val="left"/>
                    <w:jc w:val="center"/>
                  </w:pPr>
                  <w:r>
                    <w:t xml:space="preserve">Calcaric Fluvisol</w:t>
                  </w:r>
                </w:p>
              </w:tc>
              <w:tc>
                <w:tcPr/>
                <w:p>
                  <w:pPr>
                    <w:pStyle w:val="Compact"/>
                    <w:jc w:val="right"/>
                    <w:jc w:val="center"/>
                  </w:pPr>
                  <w:r>
                    <w:t xml:space="preserve">17</w:t>
                  </w:r>
                </w:p>
              </w:tc>
              <w:tc>
                <w:tcPr/>
                <w:p>
                  <w:pPr>
                    <w:pStyle w:val="Compact"/>
                    <w:jc w:val="right"/>
                    <w:jc w:val="center"/>
                  </w:pPr>
                  <w:r>
                    <w:t xml:space="preserve">34</w:t>
                  </w:r>
                </w:p>
              </w:tc>
              <w:tc>
                <w:tcPr/>
                <w:p>
                  <w:pPr>
                    <w:pStyle w:val="Compact"/>
                    <w:jc w:val="right"/>
                    <w:jc w:val="center"/>
                  </w:pPr>
                  <w:r>
                    <w:t xml:space="preserve">16</w:t>
                  </w:r>
                </w:p>
              </w:tc>
              <w:tc>
                <w:tcPr/>
                <w:p>
                  <w:pPr>
                    <w:pStyle w:val="Compact"/>
                    <w:jc w:val="right"/>
                    <w:jc w:val="center"/>
                  </w:pPr>
                  <w:r>
                    <w:t xml:space="preserve">8.3</w:t>
                  </w:r>
                </w:p>
              </w:tc>
            </w:tr>
            <w:tr>
              <w:tc>
                <w:tcPr/>
                <w:p>
                  <w:pPr>
                    <w:pStyle w:val="Compact"/>
                    <w:jc w:val="left"/>
                    <w:jc w:val="center"/>
                  </w:pPr>
                  <w:r>
                    <w:t xml:space="preserve">OEN</w:t>
                  </w:r>
                </w:p>
              </w:tc>
              <w:tc>
                <w:tcPr/>
                <w:p>
                  <w:pPr>
                    <w:pStyle w:val="Compact"/>
                    <w:jc w:val="left"/>
                    <w:jc w:val="center"/>
                  </w:pPr>
                  <w:r>
                    <w:t xml:space="preserve">Gleyic-calc. Cambisol</w:t>
                  </w:r>
                </w:p>
              </w:tc>
              <w:tc>
                <w:tcPr/>
                <w:p>
                  <w:pPr>
                    <w:pStyle w:val="Compact"/>
                    <w:jc w:val="right"/>
                    <w:jc w:val="center"/>
                  </w:pPr>
                  <w:r>
                    <w:t xml:space="preserve">37</w:t>
                  </w:r>
                </w:p>
              </w:tc>
              <w:tc>
                <w:tcPr/>
                <w:p>
                  <w:pPr>
                    <w:pStyle w:val="Compact"/>
                    <w:jc w:val="right"/>
                    <w:jc w:val="center"/>
                  </w:pPr>
                  <w:r>
                    <w:t xml:space="preserve">32</w:t>
                  </w:r>
                </w:p>
              </w:tc>
              <w:tc>
                <w:tcPr/>
                <w:p>
                  <w:pPr>
                    <w:pStyle w:val="Compact"/>
                    <w:jc w:val="right"/>
                    <w:jc w:val="center"/>
                  </w:pPr>
                  <w:r>
                    <w:t xml:space="preserve">24</w:t>
                  </w:r>
                </w:p>
              </w:tc>
              <w:tc>
                <w:tcPr/>
                <w:p>
                  <w:pPr>
                    <w:pStyle w:val="Compact"/>
                    <w:jc w:val="right"/>
                    <w:jc w:val="center"/>
                  </w:pPr>
                  <w:r>
                    <w:t xml:space="preserve">7.1</w:t>
                  </w:r>
                </w:p>
              </w:tc>
            </w:tr>
            <w:tr>
              <w:tc>
                <w:tcPr/>
                <w:p>
                  <w:pPr>
                    <w:pStyle w:val="Compact"/>
                    <w:jc w:val="left"/>
                    <w:jc w:val="center"/>
                  </w:pPr>
                  <w:r>
                    <w:t xml:space="preserve">REC</w:t>
                  </w:r>
                </w:p>
              </w:tc>
              <w:tc>
                <w:tcPr/>
                <w:p>
                  <w:pPr>
                    <w:pStyle w:val="Compact"/>
                    <w:jc w:val="left"/>
                    <w:jc w:val="center"/>
                  </w:pPr>
                  <w:r>
                    <w:t xml:space="preserve">Eutric Gleysol</w:t>
                  </w:r>
                </w:p>
              </w:tc>
              <w:tc>
                <w:tcPr/>
                <w:p>
                  <w:pPr>
                    <w:pStyle w:val="Compact"/>
                    <w:jc w:val="right"/>
                    <w:jc w:val="center"/>
                  </w:pPr>
                  <w:r>
                    <w:t xml:space="preserve">39</w:t>
                  </w:r>
                </w:p>
              </w:tc>
              <w:tc>
                <w:tcPr/>
                <w:p>
                  <w:pPr>
                    <w:pStyle w:val="Compact"/>
                    <w:jc w:val="right"/>
                    <w:jc w:val="center"/>
                  </w:pPr>
                  <w:r>
                    <w:t xml:space="preserve">25</w:t>
                  </w:r>
                </w:p>
              </w:tc>
              <w:tc>
                <w:tcPr/>
                <w:p>
                  <w:pPr>
                    <w:pStyle w:val="Compact"/>
                    <w:jc w:val="right"/>
                    <w:jc w:val="center"/>
                  </w:pPr>
                  <w:r>
                    <w:t xml:space="preserve">27</w:t>
                  </w:r>
                </w:p>
              </w:tc>
              <w:tc>
                <w:tcPr/>
                <w:p>
                  <w:pPr>
                    <w:pStyle w:val="Compact"/>
                    <w:jc w:val="right"/>
                    <w:jc w:val="center"/>
                  </w:pPr>
                  <w:r>
                    <w:t xml:space="preserve">7.4</w:t>
                  </w:r>
                </w:p>
              </w:tc>
            </w:tr>
          </w:tbl>
          <w:bookmarkEnd w:id="10"/>
          <w:p/>
        </w:tc>
      </w:tr>
    </w:tbl>
    <w:p>
      <w:pPr>
        <w:pStyle w:val="BodyText"/>
      </w:pPr>
      <w:r>
        <w:t xml:space="preserve">Soil samples for this thesis were collected in the year 2022 from the topsoil layer (0-20 cm).</w:t>
      </w:r>
    </w:p>
    <w:bookmarkEnd w:id="11"/>
    <w:bookmarkStart w:id="14" w:name="sec-phosphorus-desorption-kinetics"/>
    <w:p>
      <w:pPr>
        <w:pStyle w:val="Heading2"/>
      </w:pPr>
      <w:r>
        <w:t xml:space="preserve">1.3 Phosphorus Desorption Kinetics and Thermodynamics</w:t>
      </w:r>
    </w:p>
    <w:p>
      <w:pPr>
        <w:pStyle w:val="FirstParagraph"/>
      </w:pPr>
      <w:r>
        <w:t xml:space="preserve">The laboratory extraction of phosphorus was based on the sequential kinetic principles established by</w:t>
      </w:r>
      <w:r>
        <w:t xml:space="preserve"> </w:t>
      </w:r>
      <w:r>
        <w:t xml:space="preserve">Flossmann &amp; Richter (1982)</w:t>
      </w:r>
      <w:r>
        <w:t xml:space="preserve">, subsequently modified to capture high-resolution temporal kinetics and corrected to reflect true thermodynamic activity.</w:t>
      </w:r>
    </w:p>
    <w:bookmarkStart w:id="12" w:name="Xbd6c1e5704c75ae9a98b5e8f17a138b0c980a04"/>
    <w:p>
      <w:pPr>
        <w:pStyle w:val="Heading3"/>
      </w:pPr>
      <w:r>
        <w:t xml:space="preserve">1.3.1 Adapted Kinetic Protocol for This Study</w:t>
      </w:r>
    </w:p>
    <w:p>
      <w:pPr>
        <w:pStyle w:val="FirstParagraph"/>
      </w:pPr>
      <w:r>
        <w:t xml:space="preserve">To capture the desorption process with high temporal resolution while preserving the native soil matrix, a modified water-extraction protocol was employed:</w:t>
      </w:r>
    </w:p>
    <w:p>
      <w:pPr>
        <w:pStyle w:val="Compact"/>
        <w:numPr>
          <w:ilvl w:val="0"/>
          <w:numId w:val="1001"/>
        </w:numPr>
      </w:pPr>
      <w:r>
        <w:rPr>
          <w:b/>
          <w:bCs/>
        </w:rPr>
        <w:t xml:space="preserve">Pre-washing to Remove Soluble P</w:t>
      </w:r>
      <w:r>
        <w:t xml:space="preserve">: 10 g of air-dried soil was suspended in 200 ml of deionized water and shaken for 60 minutes at 120 Hz. The suspension was centrifuged for 15 minutes at 4000 rpm, and the supernatant containing the readily soluble P was discarded.</w:t>
      </w:r>
    </w:p>
    <w:p>
      <w:pPr>
        <w:pStyle w:val="Compact"/>
        <w:numPr>
          <w:ilvl w:val="0"/>
          <w:numId w:val="1001"/>
        </w:numPr>
      </w:pPr>
      <w:r>
        <w:rPr>
          <w:b/>
          <w:bCs/>
        </w:rPr>
        <w:t xml:space="preserve">Kinetic Extraction</w:t>
      </w:r>
      <w:r>
        <w:t xml:space="preserve">: The remaining soil pellet was resuspended in 200 ml of fresh deionized water. The suspension was shaken continuously, and subsamples were taken at eight time points: 2, 4, 10, 15, 20, 30, 45, and 60 minutes.</w:t>
      </w:r>
    </w:p>
    <w:p>
      <w:pPr>
        <w:pStyle w:val="Compact"/>
        <w:numPr>
          <w:ilvl w:val="0"/>
          <w:numId w:val="1001"/>
        </w:numPr>
      </w:pPr>
      <w:r>
        <w:rPr>
          <w:b/>
          <w:bCs/>
        </w:rPr>
        <w:t xml:space="preserve">Analysis</w:t>
      </w:r>
      <w:r>
        <w:t xml:space="preserve">: Subsamples were immediately filtered, and the stoichiometric concentration of orthophosphate (</w:t>
      </w:r>
      <m:oMath>
        <m:sSub>
          <m:e>
            <m:r>
              <m:t>c</m:t>
            </m:r>
          </m:e>
          <m:sub>
            <m:r>
              <m:t>i</m:t>
            </m:r>
          </m:sub>
        </m:sSub>
      </m:oMath>
      <w:r>
        <w:t xml:space="preserve">) was determined colorimetrically using the malachite green method</w:t>
      </w:r>
      <w:r>
        <w:t xml:space="preserve"> </w:t>
      </w:r>
      <w:r>
        <w:t xml:space="preserve">(Van Veldhoven &amp; Mannaerts, 1987)</w:t>
      </w:r>
      <w:r>
        <w:t xml:space="preserve">.</w:t>
      </w:r>
    </w:p>
    <w:bookmarkEnd w:id="12"/>
    <w:bookmarkStart w:id="13" w:name="sec-thermodynamic-correction"/>
    <w:p>
      <w:pPr>
        <w:pStyle w:val="Heading3"/>
      </w:pPr>
      <w:r>
        <w:t xml:space="preserve">1.3.2 Thermodynamic Correction to Chemical Activity</w:t>
      </w:r>
    </w:p>
    <w:p>
      <w:pPr>
        <w:pStyle w:val="FirstParagraph"/>
      </w:pPr>
      <w:r>
        <w:t xml:space="preserve">Although the kinetic extraction utilized deionized water, the immediate dissolution of native soil salts (</w:t>
      </w:r>
      <m:oMath>
        <m:r>
          <m:t>C</m:t>
        </m:r>
        <m:sSup>
          <m:e>
            <m:r>
              <m:t>a</m:t>
            </m:r>
          </m:e>
          <m:sup>
            <m:r>
              <m:t>2</m:t>
            </m:r>
            <m:r>
              <m:rPr>
                <m:sty m:val="p"/>
              </m:rPr>
              <m:t>+</m:t>
            </m:r>
          </m:sup>
        </m:sSup>
        <m:r>
          <m:rPr>
            <m:sty m:val="p"/>
          </m:rPr>
          <m:t>,</m:t>
        </m:r>
        <m:r>
          <m:t>M</m:t>
        </m:r>
        <m:sSup>
          <m:e>
            <m:r>
              <m:t>g</m:t>
            </m:r>
          </m:e>
          <m:sup>
            <m:r>
              <m:t>2</m:t>
            </m:r>
            <m:r>
              <m:rPr>
                <m:sty m:val="p"/>
              </m:rPr>
              <m:t>+</m:t>
            </m:r>
          </m:sup>
        </m:sSup>
        <m:r>
          <m:rPr>
            <m:sty m:val="p"/>
          </m:rPr>
          <m:t>,</m:t>
        </m:r>
        <m:sSup>
          <m:e>
            <m:r>
              <m:t>K</m:t>
            </m:r>
          </m:e>
          <m:sup>
            <m:r>
              <m:rPr>
                <m:sty m:val="p"/>
              </m:rPr>
              <m:t>+</m:t>
            </m:r>
          </m:sup>
        </m:sSup>
      </m:oMath>
      <w:r>
        <w:t xml:space="preserve">, etc.) generates a non-zero ionic strength (</w:t>
      </w:r>
      <m:oMath>
        <m:r>
          <m:t>I</m:t>
        </m:r>
      </m:oMath>
      <w:r>
        <w:t xml:space="preserve">) in the suspension. Because plant roots respond to thermodynamic energy rather than physical mass, the stoichiometric concentration of the extract (</w:t>
      </w:r>
      <m:oMath>
        <m:sSub>
          <m:e>
            <m:r>
              <m:t>c</m:t>
            </m:r>
          </m:e>
          <m:sub>
            <m:r>
              <m:t>i</m:t>
            </m:r>
          </m:sub>
        </m:sSub>
      </m:oMath>
      <w:r>
        <w:t xml:space="preserve">) must be corrected to its true chemical activity (</w:t>
      </w:r>
      <m:oMath>
        <m:sSub>
          <m:e>
            <m:r>
              <m:t>a</m:t>
            </m:r>
          </m:e>
          <m:sub>
            <m:r>
              <m:t>i</m:t>
            </m:r>
          </m:sub>
        </m:sSub>
      </m:oMath>
      <w:r>
        <w:t xml:space="preserve">).</w:t>
      </w:r>
    </w:p>
    <w:p>
      <w:pPr>
        <w:pStyle w:val="BodyText"/>
      </w:pPr>
      <w:r>
        <w:t xml:space="preserve">The activity coefficient (</w:t>
      </w:r>
      <m:oMath>
        <m:r>
          <m:t>γ</m:t>
        </m:r>
      </m:oMath>
      <w:r>
        <w:t xml:space="preserve">) for the divalent phosphate ion (</w:t>
      </w:r>
      <m:oMath>
        <m:r>
          <m:t>H</m:t>
        </m:r>
        <m:r>
          <m:t>P</m:t>
        </m:r>
        <m:sSubSup>
          <m:e>
            <m:r>
              <m:t>O</m:t>
            </m:r>
          </m:e>
          <m:sub>
            <m:r>
              <m:t>4</m:t>
            </m:r>
          </m:sub>
          <m:sup>
            <m:r>
              <m:t>2</m:t>
            </m:r>
            <m:r>
              <m:rPr>
                <m:sty m:val="p"/>
              </m:rPr>
              <m:t>−</m:t>
            </m:r>
          </m:sup>
        </m:sSubSup>
      </m:oMath>
      <w:r>
        <w:t xml:space="preserve">,</w:t>
      </w:r>
      <w:r>
        <w:t xml:space="preserve"> </w:t>
      </w:r>
      <m:oMath>
        <m:r>
          <m:t>z</m:t>
        </m:r>
        <m:r>
          <m:rPr>
            <m:sty m:val="p"/>
          </m:rPr>
          <m:t>=</m:t>
        </m:r>
        <m:r>
          <m:rPr>
            <m:sty m:val="p"/>
          </m:rPr>
          <m:t>−</m:t>
        </m:r>
        <m:r>
          <m:t>2</m:t>
        </m:r>
      </m:oMath>
      <w:r>
        <w:t xml:space="preserve">) was calculated for each site-specific matrix using the</w:t>
      </w:r>
      <w:r>
        <w:t xml:space="preserve"> </w:t>
      </w:r>
      <w:r>
        <w:rPr>
          <w:b/>
          <w:bCs/>
        </w:rPr>
        <w:t xml:space="preserve">Davies Equation</w:t>
      </w:r>
      <w:r>
        <w:t xml:space="preserve">, which is highly robust for agricultural soil solutions up to</w:t>
      </w:r>
      <w:r>
        <w:t xml:space="preserve"> </w:t>
      </w:r>
      <m:oMath>
        <m:r>
          <m:t>I</m:t>
        </m:r>
        <m:r>
          <m:rPr>
            <m:sty m:val="p"/>
          </m:rPr>
          <m:t>≈</m:t>
        </m:r>
        <m:r>
          <m:t>0.1</m:t>
        </m:r>
        <m:r>
          <m:rPr>
            <m:nor/>
            <m:sty m:val="p"/>
          </m:rPr>
          <m:t> M</m:t>
        </m:r>
      </m:oMath>
      <w:r>
        <w:t xml:space="preserve">:</w:t>
      </w:r>
    </w:p>
    <w:p>
      <w:pPr>
        <w:pStyle w:val="BodyText"/>
      </w:pPr>
      <m:oMathPara>
        <m:oMathParaPr>
          <m:jc m:val="center"/>
        </m:oMathParaPr>
        <m:oMath>
          <m:sSub>
            <m:e>
              <m:r>
                <m:rPr>
                  <m:sty m:val="p"/>
                </m:rPr>
                <m:t>log</m:t>
              </m:r>
            </m:e>
            <m:sub>
              <m:r>
                <m:t>10</m:t>
              </m:r>
            </m:sub>
          </m:sSub>
          <m:r>
            <m:rPr>
              <m:sty m:val="p"/>
            </m:rPr>
            <m:t>(</m:t>
          </m:r>
          <m:r>
            <m:t>γ</m:t>
          </m:r>
          <m:r>
            <m:rPr>
              <m:sty m:val="p"/>
            </m:rPr>
            <m:t>)</m:t>
          </m:r>
          <m:r>
            <m:rPr>
              <m:sty m:val="p"/>
            </m:rPr>
            <m:t>=</m:t>
          </m:r>
          <m:r>
            <m:rPr>
              <m:sty m:val="p"/>
            </m:rPr>
            <m:t>−</m:t>
          </m:r>
          <m:r>
            <m:t>0.5</m:t>
          </m:r>
          <m:r>
            <m:rPr>
              <m:sty m:val="p"/>
            </m:rPr>
            <m:t>⋅</m:t>
          </m:r>
          <m:sSup>
            <m:e>
              <m:r>
                <m:t>z</m:t>
              </m:r>
            </m:e>
            <m:sup>
              <m:r>
                <m:t>2</m:t>
              </m:r>
            </m:sup>
          </m:sSup>
          <m:d>
            <m:dPr>
              <m:begChr m:val="("/>
              <m:sepChr m:val=""/>
              <m:endChr m:val=")"/>
              <m:grow/>
            </m:dPr>
            <m:e>
              <m:f>
                <m:fPr>
                  <m:type m:val="bar"/>
                </m:fPr>
                <m:num>
                  <m:rad>
                    <m:radPr>
                      <m:degHide m:val="on"/>
                    </m:radPr>
                    <m:deg/>
                    <m:e>
                      <m:r>
                        <m:t>I</m:t>
                      </m:r>
                    </m:e>
                  </m:rad>
                </m:num>
                <m:den>
                  <m:r>
                    <m:t>1</m:t>
                  </m:r>
                  <m:r>
                    <m:rPr>
                      <m:sty m:val="p"/>
                    </m:rPr>
                    <m:t>+</m:t>
                  </m:r>
                  <m:rad>
                    <m:radPr>
                      <m:degHide m:val="on"/>
                    </m:radPr>
                    <m:deg/>
                    <m:e>
                      <m:r>
                        <m:t>I</m:t>
                      </m:r>
                    </m:e>
                  </m:rad>
                </m:den>
              </m:f>
              <m:r>
                <m:rPr>
                  <m:sty m:val="p"/>
                </m:rPr>
                <m:t>−</m:t>
              </m:r>
              <m:r>
                <m:t>0.3</m:t>
              </m:r>
              <m:r>
                <m:t>I</m:t>
              </m:r>
            </m:e>
          </m:d>
        </m:oMath>
      </m:oMathPara>
    </w:p>
    <w:p>
      <w:pPr>
        <w:pStyle w:val="FirstParagraph"/>
      </w:pPr>
      <w:r>
        <w:t xml:space="preserve">The true thermodynamic activity (</w:t>
      </w:r>
      <m:oMath>
        <m:sSub>
          <m:e>
            <m:r>
              <m:t>a</m:t>
            </m:r>
          </m:e>
          <m:sub>
            <m:r>
              <m:t>i</m:t>
            </m:r>
          </m:sub>
        </m:sSub>
      </m:oMath>
      <w:r>
        <w:t xml:space="preserve">) of the phosphorus in the extract was then calculated as the product of the raw stoichiometric concentration and the activity coefficient:</w:t>
      </w:r>
    </w:p>
    <w:p>
      <w:pPr>
        <w:pStyle w:val="BodyText"/>
      </w:pPr>
      <m:oMathPara>
        <m:oMathParaPr>
          <m:jc m:val="center"/>
        </m:oMathParaPr>
        <m:oMath>
          <m:sSub>
            <m:e>
              <m:r>
                <m:t>a</m:t>
              </m:r>
            </m:e>
            <m:sub>
              <m:r>
                <m:t>i</m:t>
              </m:r>
            </m:sub>
          </m:sSub>
          <m:r>
            <m:rPr>
              <m:sty m:val="p"/>
            </m:rPr>
            <m:t>=</m:t>
          </m:r>
          <m:sSub>
            <m:e>
              <m:r>
                <m:t>c</m:t>
              </m:r>
            </m:e>
            <m:sub>
              <m:r>
                <m:t>i</m:t>
              </m:r>
            </m:sub>
          </m:sSub>
          <m:r>
            <m:rPr>
              <m:sty m:val="p"/>
            </m:rPr>
            <m:t>⋅</m:t>
          </m:r>
          <m:r>
            <m:t>γ</m:t>
          </m:r>
        </m:oMath>
      </m:oMathPara>
    </w:p>
    <w:p>
      <w:pPr>
        <w:pStyle w:val="FirstParagraph"/>
      </w:pPr>
      <w:r>
        <w:t xml:space="preserve">This correction neutralizes pedochemical variances caused by differing native background salinities and pH levels across the STYCS sites, converting the raw data into a universal thermodynamic Intensity (</w:t>
      </w:r>
      <m:oMath>
        <m:r>
          <m:t>I</m:t>
        </m:r>
      </m:oMath>
      <w:r>
        <w:t xml:space="preserve">) metric.</w:t>
      </w:r>
    </w:p>
    <w:bookmarkEnd w:id="13"/>
    <w:bookmarkEnd w:id="14"/>
    <w:bookmarkStart w:id="32" w:name="sec-statistical-analysis"/>
    <w:p>
      <w:pPr>
        <w:pStyle w:val="Heading2"/>
      </w:pPr>
      <w:r>
        <w:t xml:space="preserve">1.4 Statistical Analysis and Modeling</w:t>
      </w:r>
    </w:p>
    <w:p>
      <w:pPr>
        <w:pStyle w:val="FirstParagraph"/>
      </w:pPr>
      <w:r>
        <w:t xml:space="preserve">All data processing, mathematical modeling, and visualization were conducted using the R programming language (v. 4.3.1)</w:t>
      </w:r>
      <w:r>
        <w:t xml:space="preserve"> </w:t>
      </w:r>
      <w:r>
        <w:t xml:space="preserve">(R Core Team, 2022)</w:t>
      </w:r>
      <w:r>
        <w:t xml:space="preserve">. Primary packages included</w:t>
      </w:r>
      <w:r>
        <w:t xml:space="preserve"> </w:t>
      </w:r>
      <w:r>
        <w:rPr>
          <w:rStyle w:val="VerbatimChar"/>
        </w:rPr>
        <w:t xml:space="preserve">nlme</w:t>
      </w:r>
      <w:r>
        <w:t xml:space="preserve"> </w:t>
      </w:r>
      <w:r>
        <w:t xml:space="preserve">(Pinheiro et al., 2022)</w:t>
      </w:r>
      <w:r>
        <w:t xml:space="preserve"> </w:t>
      </w:r>
      <w:r>
        <w:t xml:space="preserve">for non-linear kinetic modeling,</w:t>
      </w:r>
      <w:r>
        <w:t xml:space="preserve"> </w:t>
      </w:r>
      <w:r>
        <w:rPr>
          <w:rStyle w:val="VerbatimChar"/>
        </w:rPr>
        <w:t xml:space="preserve">lme4</w:t>
      </w:r>
      <w:r>
        <w:t xml:space="preserve"> </w:t>
      </w:r>
      <w:r>
        <w:t xml:space="preserve">(Bates et al., 2015)</w:t>
      </w:r>
      <w:r>
        <w:t xml:space="preserve"> </w:t>
      </w:r>
      <w:r>
        <w:t xml:space="preserve">for linear mixed-effects modeling, and</w:t>
      </w:r>
      <w:r>
        <w:t xml:space="preserve"> </w:t>
      </w:r>
      <w:r>
        <w:rPr>
          <w:rStyle w:val="VerbatimChar"/>
        </w:rPr>
        <w:t xml:space="preserve">deSolve</w:t>
      </w:r>
      <w:r>
        <w:t xml:space="preserve"> </w:t>
      </w:r>
      <w:r>
        <w:t xml:space="preserve">and</w:t>
      </w:r>
      <w:r>
        <w:t xml:space="preserve"> </w:t>
      </w:r>
      <w:r>
        <w:rPr>
          <w:rStyle w:val="VerbatimChar"/>
        </w:rPr>
        <w:t xml:space="preserve">ReacTran</w:t>
      </w:r>
      <w:r>
        <w:t xml:space="preserve"> </w:t>
      </w:r>
      <w:r>
        <w:t xml:space="preserve">for partial differential equation solving.</w:t>
      </w:r>
    </w:p>
    <w:bookmarkStart w:id="15" w:name="X66c8e447a19c304ef14b8d97356eebce6eb189a"/>
    <w:p>
      <w:pPr>
        <w:pStyle w:val="Heading3"/>
      </w:pPr>
      <w:r>
        <w:t xml:space="preserve">1.4.1 1. Modeling of Desorption Kinetics and the Activity Flux (</w:t>
      </w:r>
      <m:oMath>
        <m:sSub>
          <m:e>
            <m:r>
              <m:t>J</m:t>
            </m:r>
          </m:e>
          <m:sub>
            <m:r>
              <m:t>0</m:t>
            </m:r>
          </m:sub>
        </m:sSub>
      </m:oMath>
      <w:r>
        <w:t xml:space="preserve">)</w:t>
      </w:r>
    </w:p>
    <w:p>
      <w:pPr>
        <w:pStyle w:val="FirstParagraph"/>
      </w:pPr>
      <w:r>
        <w:t xml:space="preserve">To derive the kinetic parameters, a non-linear mixed-effects model (</w:t>
      </w:r>
      <w:r>
        <w:rPr>
          <w:rStyle w:val="VerbatimChar"/>
        </w:rPr>
        <w:t xml:space="preserve">nlme</w:t>
      </w:r>
      <w:r>
        <w:t xml:space="preserve">) was fitted to the exact solution of the first-order rate equation, utilizing the thermodynamically corrected activities:</w:t>
      </w:r>
    </w:p>
    <w:p>
      <w:pPr>
        <w:pStyle w:val="BodyText"/>
      </w:pPr>
      <m:oMathPara>
        <m:oMathParaPr>
          <m:jc m:val="center"/>
        </m:oMathParaPr>
        <m:oMath>
          <m:r>
            <m:t>a</m:t>
          </m:r>
          <m:r>
            <m:rPr>
              <m:sty m:val="p"/>
            </m:rPr>
            <m:t>(</m:t>
          </m:r>
          <m:r>
            <m:t>t</m:t>
          </m:r>
          <m:r>
            <m:rPr>
              <m:sty m:val="p"/>
            </m:rPr>
            <m:t>)</m:t>
          </m:r>
          <m:r>
            <m:rPr>
              <m:sty m:val="p"/>
            </m:rPr>
            <m:t>=</m:t>
          </m:r>
          <m:sSub>
            <m:e>
              <m:r>
                <m:t>a</m:t>
              </m:r>
            </m:e>
            <m:sub>
              <m:r>
                <m:t>m</m:t>
              </m:r>
              <m:r>
                <m:t>a</m:t>
              </m:r>
              <m:r>
                <m:t>x</m:t>
              </m:r>
            </m:sub>
          </m:sSub>
          <m:r>
            <m:rPr>
              <m:sty m:val="p"/>
            </m:rPr>
            <m:t>×</m:t>
          </m:r>
          <m:r>
            <m:rPr>
              <m:sty m:val="p"/>
            </m:rPr>
            <m:t>(</m:t>
          </m:r>
          <m:r>
            <m:t>1</m:t>
          </m:r>
          <m:r>
            <m:rPr>
              <m:sty m:val="p"/>
            </m:rPr>
            <m:t>−</m:t>
          </m:r>
          <m:sSup>
            <m:e>
              <m:r>
                <m:t>e</m:t>
              </m:r>
            </m:e>
            <m:sup>
              <m:r>
                <m:rPr>
                  <m:sty m:val="p"/>
                </m:rPr>
                <m:t>−</m:t>
              </m:r>
              <m:r>
                <m:t>k</m:t>
              </m:r>
              <m:r>
                <m:rPr>
                  <m:sty m:val="p"/>
                </m:rPr>
                <m:t>×</m:t>
              </m:r>
              <m:sSup>
                <m:e>
                  <m:r>
                    <m:t>t</m:t>
                  </m:r>
                </m:e>
                <m:sup>
                  <m:r>
                    <m:rPr>
                      <m:sty m:val="p"/>
                    </m:rPr>
                    <m:t>′</m:t>
                  </m:r>
                </m:sup>
              </m:sSup>
            </m:sup>
          </m:sSup>
          <m:r>
            <m:rPr>
              <m:sty m:val="p"/>
            </m:rPr>
            <m:t>)</m:t>
          </m:r>
        </m:oMath>
      </m:oMathPara>
    </w:p>
    <w:p>
      <w:pPr>
        <w:pStyle w:val="FirstParagraph"/>
      </w:pPr>
      <w:r>
        <w:t xml:space="preserve">Where</w:t>
      </w:r>
      <w:r>
        <w:t xml:space="preserve"> </w:t>
      </w:r>
      <m:oMath>
        <m:r>
          <m:t>a</m:t>
        </m:r>
        <m:r>
          <m:rPr>
            <m:sty m:val="p"/>
          </m:rPr>
          <m:t>(</m:t>
        </m:r>
        <m:r>
          <m:t>t</m:t>
        </m:r>
        <m:r>
          <m:rPr>
            <m:sty m:val="p"/>
          </m:rPr>
          <m:t>)</m:t>
        </m:r>
      </m:oMath>
      <w:r>
        <w:t xml:space="preserve"> </w:t>
      </w:r>
      <w:r>
        <w:t xml:space="preserve">is the P activity at time</w:t>
      </w:r>
      <w:r>
        <w:t xml:space="preserve"> </w:t>
      </w:r>
      <m:oMath>
        <m:r>
          <m:t>t</m:t>
        </m:r>
      </m:oMath>
      <w:r>
        <w:t xml:space="preserve">,</w:t>
      </w:r>
      <w:r>
        <w:t xml:space="preserve"> </w:t>
      </w:r>
      <m:oMath>
        <m:sSub>
          <m:e>
            <m:r>
              <m:t>a</m:t>
            </m:r>
          </m:e>
          <m:sub>
            <m:r>
              <m:t>m</m:t>
            </m:r>
            <m:r>
              <m:t>a</m:t>
            </m:r>
            <m:r>
              <m:t>x</m:t>
            </m:r>
          </m:sub>
        </m:sSub>
      </m:oMath>
      <w:r>
        <w:t xml:space="preserve"> </w:t>
      </w:r>
      <w:r>
        <w:t xml:space="preserve">is the maximum thermodynamic activity of the desorbable P pool (the asymptote),</w:t>
      </w:r>
      <w:r>
        <w:t xml:space="preserve"> </w:t>
      </w:r>
      <m:oMath>
        <m:r>
          <m:t>k</m:t>
        </m:r>
      </m:oMath>
      <w:r>
        <w:t xml:space="preserve"> </w:t>
      </w:r>
      <w:r>
        <w:t xml:space="preserve">is the first-order desorption rate constant, and</w:t>
      </w:r>
      <w:r>
        <w:t xml:space="preserve"> </w:t>
      </w:r>
      <m:oMath>
        <m:sSup>
          <m:e>
            <m:r>
              <m:t>t</m:t>
            </m:r>
          </m:e>
          <m:sup>
            <m:r>
              <m:rPr>
                <m:sty m:val="p"/>
              </m:rPr>
              <m:t>′</m:t>
            </m:r>
          </m:sup>
        </m:sSup>
      </m:oMath>
      <w:r>
        <w:t xml:space="preserve"> </w:t>
      </w:r>
      <w:r>
        <w:t xml:space="preserve">is an adjusted time (</w:t>
      </w:r>
      <m:oMath>
        <m:sSub>
          <m:e>
            <m:r>
              <m:t>t</m:t>
            </m:r>
          </m:e>
          <m:sub>
            <m:r>
              <m:t>m</m:t>
            </m:r>
            <m:r>
              <m:t>i</m:t>
            </m:r>
            <m:r>
              <m:t>n</m:t>
            </m:r>
          </m:sub>
        </m:sSub>
        <m:r>
          <m:rPr>
            <m:sty m:val="p"/>
          </m:rPr>
          <m:t>+</m:t>
        </m:r>
        <m:r>
          <m:t>3</m:t>
        </m:r>
        <m:r>
          <m:rPr>
            <m:nor/>
            <m:sty m:val="p"/>
          </m:rPr>
          <m:t> min</m:t>
        </m:r>
      </m:oMath>
      <w:r>
        <w:t xml:space="preserve">) accounting for initial dissolution. Sample-specific deviations were modeled as random effects to capture the unique desorption characteristics of each soil.</w:t>
      </w:r>
    </w:p>
    <w:p>
      <w:pPr>
        <w:pStyle w:val="BodyText"/>
      </w:pPr>
      <w:r>
        <w:t xml:space="preserve">From these parameters, a novel predictor for agronomic availability, the</w:t>
      </w:r>
      <w:r>
        <w:t xml:space="preserve"> </w:t>
      </w:r>
      <w:r>
        <w:rPr>
          <w:b/>
          <w:bCs/>
        </w:rPr>
        <w:t xml:space="preserve">Initial Activity Flux (</w:t>
      </w:r>
      <m:oMath>
        <m:sSub>
          <m:e>
            <m:r>
              <m:t>J</m:t>
            </m:r>
          </m:e>
          <m:sub>
            <m:r>
              <m:t>0</m:t>
            </m:r>
          </m:sub>
        </m:sSub>
      </m:oMath>
      <w:r>
        <w:rPr>
          <w:b/>
          <w:bCs/>
        </w:rPr>
        <w:t xml:space="preserve">)</w:t>
      </w:r>
      <w:r>
        <w:t xml:space="preserve">, was defined mathematically as the product of the rate constant and the maximum thermodynamic activity:</w:t>
      </w:r>
    </w:p>
    <w:p>
      <w:pPr>
        <w:pStyle w:val="BodyText"/>
      </w:pPr>
      <m:oMathPara>
        <m:oMathParaPr>
          <m:jc m:val="center"/>
        </m:oMathParaPr>
        <m:oMath>
          <m:sSub>
            <m:e>
              <m:r>
                <m:t>J</m:t>
              </m:r>
            </m:e>
            <m:sub>
              <m:r>
                <m:t>0</m:t>
              </m:r>
            </m:sub>
          </m:sSub>
          <m:r>
            <m:rPr>
              <m:sty m:val="p"/>
            </m:rPr>
            <m:t>=</m:t>
          </m:r>
          <m:r>
            <m:t>k</m:t>
          </m:r>
          <m:r>
            <m:rPr>
              <m:sty m:val="p"/>
            </m:rPr>
            <m:t>⋅</m:t>
          </m:r>
          <m:sSub>
            <m:e>
              <m:r>
                <m:t>a</m:t>
              </m:r>
            </m:e>
            <m:sub>
              <m:r>
                <m:t>m</m:t>
              </m:r>
              <m:r>
                <m:t>a</m:t>
              </m:r>
              <m:r>
                <m:t>x</m:t>
              </m:r>
            </m:sub>
          </m:sSub>
        </m:oMath>
      </m:oMathPara>
    </w:p>
    <w:bookmarkEnd w:id="15"/>
    <w:bookmarkStart w:id="16" w:name="X1cf47a909557ed9ebde43d137cb1950c10fa0a6"/>
    <w:p>
      <w:pPr>
        <w:pStyle w:val="Heading3"/>
      </w:pPr>
      <w:r>
        <w:t xml:space="preserve">1.4.2 2. Thermodynamic</w:t>
      </w:r>
      <w:r>
        <w:t xml:space="preserve"> </w:t>
      </w:r>
      <m:oMath>
        <m:r>
          <m:t>Q</m:t>
        </m:r>
        <m:r>
          <m:rPr>
            <m:sty m:val="p"/>
          </m:rPr>
          <m:t>(</m:t>
        </m:r>
        <m:r>
          <m:t>I</m:t>
        </m:r>
        <m:r>
          <m:rPr>
            <m:sty m:val="p"/>
          </m:rPr>
          <m:t>)</m:t>
        </m:r>
      </m:oMath>
      <w:r>
        <w:t xml:space="preserve"> </w:t>
      </w:r>
      <w:r>
        <w:t xml:space="preserve">Isotherms and Buffering Capacity</w:t>
      </w:r>
    </w:p>
    <w:p>
      <w:pPr>
        <w:pStyle w:val="FirstParagraph"/>
      </w:pPr>
      <w:r>
        <w:t xml:space="preserve">To deduce the Phosphorus Buffering Capacity (PBC), a thermodynamic Quantity-Intensity (</w:t>
      </w:r>
      <m:oMath>
        <m:r>
          <m:t>Q</m:t>
        </m:r>
        <m:r>
          <m:rPr>
            <m:sty m:val="p"/>
          </m:rPr>
          <m:t>/</m:t>
        </m:r>
        <m:r>
          <m:t>I</m:t>
        </m:r>
      </m:oMath>
      <w:r>
        <w:t xml:space="preserve">) framework was constructed. The</w:t>
      </w:r>
      <w:r>
        <w:t xml:space="preserve"> </w:t>
      </w:r>
      <m:oMath>
        <m:sSub>
          <m:e>
            <m:r>
              <m:t>P</m:t>
            </m:r>
          </m:e>
          <m:sub>
            <m:r>
              <m:t>A</m:t>
            </m:r>
            <m:r>
              <m:t>A</m:t>
            </m:r>
            <m:r>
              <m:t>E</m:t>
            </m:r>
            <m:r>
              <m:t>10</m:t>
            </m:r>
          </m:sub>
        </m:sSub>
      </m:oMath>
      <w:r>
        <w:t xml:space="preserve"> </w:t>
      </w:r>
      <w:r>
        <w:t xml:space="preserve">extraction was utilized as the standard mass Quantity (</w:t>
      </w:r>
      <m:oMath>
        <m:r>
          <m:t>Q</m:t>
        </m:r>
      </m:oMath>
      <w:r>
        <w:t xml:space="preserve">,</w:t>
      </w:r>
      <w:r>
        <w:t xml:space="preserve"> </w:t>
      </w:r>
      <m:oMath>
        <m:sSup>
          <m:e>
            <m:r>
              <m:rPr>
                <m:nor/>
                <m:sty m:val="p"/>
              </m:rPr>
              <m:t>mg P kg</m:t>
            </m:r>
          </m:e>
          <m:sup>
            <m:r>
              <m:rPr>
                <m:sty m:val="p"/>
              </m:rPr>
              <m:t>−</m:t>
            </m:r>
            <m:r>
              <m:t>1</m:t>
            </m:r>
          </m:sup>
        </m:sSup>
      </m:oMath>
      <w:r>
        <w:t xml:space="preserve">), while the Davies-corrected</w:t>
      </w:r>
      <w:r>
        <w:t xml:space="preserve"> </w:t>
      </w:r>
      <m:oMath>
        <m:sSub>
          <m:e>
            <m:r>
              <m:t>a</m:t>
            </m:r>
          </m:e>
          <m:sub>
            <m:r>
              <m:t>m</m:t>
            </m:r>
            <m:r>
              <m:t>a</m:t>
            </m:r>
            <m:r>
              <m:t>x</m:t>
            </m:r>
          </m:sub>
        </m:sSub>
      </m:oMath>
      <w:r>
        <w:t xml:space="preserve"> </w:t>
      </w:r>
      <w:r>
        <w:t xml:space="preserve">was utilized as the native Intensity (</w:t>
      </w:r>
      <m:oMath>
        <m:r>
          <m:t>I</m:t>
        </m:r>
      </m:oMath>
      <w:r>
        <w:t xml:space="preserve">,</w:t>
      </w:r>
      <w:r>
        <w:t xml:space="preserve"> </w:t>
      </w:r>
      <m:oMath>
        <m:r>
          <m:t>μ</m:t>
        </m:r>
        <m:r>
          <m:rPr>
            <m:nor/>
            <m:sty m:val="p"/>
          </m:rPr>
          <m:t>M</m:t>
        </m:r>
      </m:oMath>
      <w:r>
        <w:t xml:space="preserve">).</w:t>
      </w:r>
    </w:p>
    <w:p>
      <w:pPr>
        <w:pStyle w:val="BodyText"/>
      </w:pPr>
      <w:r>
        <w:t xml:space="preserve">The relationship between these variables across the varying fertilizer treatments at each site was parameterized using a log-linearized</w:t>
      </w:r>
      <w:r>
        <w:t xml:space="preserve"> </w:t>
      </w:r>
      <w:r>
        <w:rPr>
          <w:b/>
          <w:bCs/>
        </w:rPr>
        <w:t xml:space="preserve">Freundlich Isotherm</w:t>
      </w:r>
      <w:r>
        <w:t xml:space="preserve">:</w:t>
      </w:r>
    </w:p>
    <w:p>
      <w:pPr>
        <w:pStyle w:val="BodyText"/>
      </w:pPr>
      <m:oMathPara>
        <m:oMathParaPr>
          <m:jc m:val="center"/>
        </m:oMathParaPr>
        <m:oMath>
          <m:r>
            <m:t>Q</m:t>
          </m:r>
          <m:r>
            <m:rPr>
              <m:sty m:val="p"/>
            </m:rPr>
            <m:t>=</m:t>
          </m:r>
          <m:sSub>
            <m:e>
              <m:r>
                <m:t>K</m:t>
              </m:r>
            </m:e>
            <m:sub>
              <m:r>
                <m:t>f</m:t>
              </m:r>
            </m:sub>
          </m:sSub>
          <m:r>
            <m:rPr>
              <m:sty m:val="p"/>
            </m:rPr>
            <m:t>⋅</m:t>
          </m:r>
          <m:sSup>
            <m:e>
              <m:r>
                <m:t>I</m:t>
              </m:r>
            </m:e>
            <m:sup>
              <m:f>
                <m:fPr>
                  <m:type m:val="bar"/>
                </m:fPr>
                <m:num>
                  <m:r>
                    <m:t>1</m:t>
                  </m:r>
                </m:num>
                <m:den>
                  <m:r>
                    <m:t>n</m:t>
                  </m:r>
                </m:den>
              </m:f>
            </m:sup>
          </m:sSup>
        </m:oMath>
      </m:oMathPara>
    </w:p>
    <w:p>
      <w:pPr>
        <w:pStyle w:val="FirstParagraph"/>
      </w:pPr>
      <w:r>
        <w:t xml:space="preserve">The true thermodynamic PBC for each specific site and state was then calculated analytically as the first derivative of the fitted Freundlich isotherm with respect to Intensity:</w:t>
      </w:r>
    </w:p>
    <w:p>
      <w:pPr>
        <w:pStyle w:val="BodyText"/>
      </w:pPr>
      <m:oMathPara>
        <m:oMathParaPr>
          <m:jc m:val="center"/>
        </m:oMathParaPr>
        <m:oMath>
          <m:r>
            <m:rPr>
              <m:nor/>
              <m:sty m:val="p"/>
            </m:rPr>
            <m:t>PBC</m:t>
          </m:r>
          <m:r>
            <m:rPr>
              <m:sty m:val="p"/>
            </m:rPr>
            <m:t>=</m:t>
          </m:r>
          <m:f>
            <m:fPr>
              <m:type m:val="bar"/>
            </m:fPr>
            <m:num>
              <m:r>
                <m:t>d</m:t>
              </m:r>
              <m:r>
                <m:t>Q</m:t>
              </m:r>
            </m:num>
            <m:den>
              <m:r>
                <m:t>d</m:t>
              </m:r>
              <m:r>
                <m:t>I</m:t>
              </m:r>
            </m:den>
          </m:f>
          <m:r>
            <m:rPr>
              <m:sty m:val="p"/>
            </m:rPr>
            <m:t>=</m:t>
          </m:r>
          <m:sSub>
            <m:e>
              <m:r>
                <m:t>K</m:t>
              </m:r>
            </m:e>
            <m:sub>
              <m:r>
                <m:t>f</m:t>
              </m:r>
            </m:sub>
          </m:sSub>
          <m:r>
            <m:rPr>
              <m:sty m:val="p"/>
            </m:rPr>
            <m:t>⋅</m:t>
          </m:r>
          <m:f>
            <m:fPr>
              <m:type m:val="bar"/>
            </m:fPr>
            <m:num>
              <m:r>
                <m:t>1</m:t>
              </m:r>
            </m:num>
            <m:den>
              <m:r>
                <m:t>n</m:t>
              </m:r>
            </m:den>
          </m:f>
          <m:r>
            <m:rPr>
              <m:sty m:val="p"/>
            </m:rPr>
            <m:t>⋅</m:t>
          </m:r>
          <m:sSup>
            <m:e>
              <m:r>
                <m:t>I</m:t>
              </m:r>
            </m:e>
            <m:sup>
              <m:d>
                <m:dPr>
                  <m:begChr m:val="("/>
                  <m:sepChr m:val=""/>
                  <m:endChr m:val=")"/>
                  <m:grow/>
                </m:dPr>
                <m:e>
                  <m:f>
                    <m:fPr>
                      <m:type m:val="bar"/>
                    </m:fPr>
                    <m:num>
                      <m:r>
                        <m:t>1</m:t>
                      </m:r>
                    </m:num>
                    <m:den>
                      <m:r>
                        <m:t>n</m:t>
                      </m:r>
                    </m:den>
                  </m:f>
                  <m:r>
                    <m:rPr>
                      <m:sty m:val="p"/>
                    </m:rPr>
                    <m:t>−</m:t>
                  </m:r>
                  <m:r>
                    <m:t>1</m:t>
                  </m:r>
                </m:e>
              </m:d>
            </m:sup>
          </m:sSup>
        </m:oMath>
      </m:oMathPara>
    </w:p>
    <w:bookmarkEnd w:id="16"/>
    <w:bookmarkStart w:id="17" w:name="X1fad81012fcba959795e5efc9d9880b48046764"/>
    <w:p>
      <w:pPr>
        <w:pStyle w:val="Heading3"/>
      </w:pPr>
      <w:r>
        <w:t xml:space="preserve">1.4.3 3. Agronomic Normalization: The Historical Baseline Strategy</w:t>
      </w:r>
    </w:p>
    <w:p>
      <w:pPr>
        <w:pStyle w:val="FirstParagraph"/>
      </w:pPr>
      <w:r>
        <w:t xml:space="preserve">To statistically evaluate the predictive power of the chemical parameters across six highly diverse pedoclimatic sites, raw crop yield and P-uptake data required robust normalization to isolate chemical P-limitation from overarching climatic noise.</w:t>
      </w:r>
    </w:p>
    <w:p>
      <w:pPr>
        <w:pStyle w:val="BodyText"/>
      </w:pPr>
      <w:r>
        <w:t xml:space="preserve">Standard normalization (dividing by the maximum yield of a given site within the specific experimental year) was rejected, as it artificially masks broad climatic limitations (e.g., drought) and forces the best plot of a poor year to equal 100%, mathematically erasing the biological penalty. Instead, a</w:t>
      </w:r>
      <w:r>
        <w:t xml:space="preserve"> </w:t>
      </w:r>
      <w:r>
        <w:rPr>
          <w:b/>
          <w:bCs/>
        </w:rPr>
        <w:t xml:space="preserve">historical biological baseline strategy</w:t>
      </w:r>
      <w:r>
        <w:t xml:space="preserve"> </w:t>
      </w:r>
      <w:r>
        <w:t xml:space="preserve">was employed.</w:t>
      </w:r>
    </w:p>
    <w:p>
      <w:pPr>
        <w:pStyle w:val="BodyText"/>
      </w:pPr>
      <w:r>
        <w:t xml:space="preserve">Using the 40-year STYCS historical dataset, the true biological potential (</w:t>
      </w:r>
      <m:oMath>
        <m:sSub>
          <m:e>
            <m:r>
              <m:t>Y</m:t>
            </m:r>
          </m:e>
          <m:sub>
            <m:r>
              <m:t>m</m:t>
            </m:r>
            <m:r>
              <m:t>a</m:t>
            </m:r>
            <m:r>
              <m:t>x</m:t>
            </m:r>
          </m:sub>
        </m:sSub>
      </m:oMath>
      <w:r>
        <w:t xml:space="preserve"> </w:t>
      </w:r>
      <w:r>
        <w:t xml:space="preserve">and</w:t>
      </w:r>
      <w:r>
        <w:t xml:space="preserve"> </w:t>
      </w:r>
      <m:oMath>
        <m:r>
          <m:t>U</m:t>
        </m:r>
        <m:r>
          <m:t>p</m:t>
        </m:r>
        <m:r>
          <m:t>t</m:t>
        </m:r>
        <m:r>
          <m:t>a</m:t>
        </m:r>
        <m:r>
          <m:t>k</m:t>
        </m:r>
        <m:sSub>
          <m:e>
            <m:r>
              <m:t>e</m:t>
            </m:r>
          </m:e>
          <m:sub>
            <m:r>
              <m:t>m</m:t>
            </m:r>
            <m:r>
              <m:t>a</m:t>
            </m:r>
            <m:r>
              <m:t>x</m:t>
            </m:r>
          </m:sub>
        </m:sSub>
      </m:oMath>
      <w:r>
        <w:t xml:space="preserve">) was calculated for each specific site and crop species by taking the 95th percentile of all fully fertilized (100% and 167% P) treatments. Current experimental yields and uptake values were divided by this historical baseline to calculate</w:t>
      </w:r>
      <w:r>
        <w:t xml:space="preserve"> </w:t>
      </w:r>
      <w:r>
        <w:rPr>
          <w:b/>
          <w:bCs/>
        </w:rPr>
        <w:t xml:space="preserve">Relative Historical Yield (</w:t>
      </w:r>
      <m:oMath>
        <m:sSub>
          <m:e>
            <m:r>
              <m:t>Y</m:t>
            </m:r>
          </m:e>
          <m:sub>
            <m:r>
              <m:t>r</m:t>
            </m:r>
            <m:r>
              <m:t>e</m:t>
            </m:r>
            <m:r>
              <m:t>l</m:t>
            </m:r>
            <m:r>
              <m:rPr>
                <m:sty m:val="p"/>
              </m:rPr>
              <m:t>_</m:t>
            </m:r>
            <m:r>
              <m:t>h</m:t>
            </m:r>
            <m:r>
              <m:t>i</m:t>
            </m:r>
            <m:r>
              <m:t>s</m:t>
            </m:r>
            <m:r>
              <m:t>t</m:t>
            </m:r>
          </m:sub>
        </m:sSub>
      </m:oMath>
      <w:r>
        <w:rPr>
          <w:b/>
          <w:bCs/>
        </w:rPr>
        <w:t xml:space="preserve">)</w:t>
      </w:r>
      <w:r>
        <w:t xml:space="preserve">, providing a highly stable metric representing the percentage of the crop’s long-term biological potential achieved.</w:t>
      </w:r>
    </w:p>
    <w:bookmarkEnd w:id="17"/>
    <w:bookmarkStart w:id="19" w:name="X58542cabf128eedeee182ac79d5f1c7c4f09633"/>
    <w:p>
      <w:pPr>
        <w:pStyle w:val="Heading3"/>
      </w:pPr>
      <w:r>
        <w:t xml:space="preserve">1.4.4 4. Comparative Modeling of Agronomic Outcomes</w:t>
      </w:r>
    </w:p>
    <w:p>
      <w:pPr>
        <w:pStyle w:val="FirstParagraph"/>
      </w:pPr>
      <w:r>
        <w:t xml:space="preserve">To test the core hypothesis, two competing sets of linear mixed-effects models (</w:t>
      </w:r>
      <w:r>
        <w:rPr>
          <w:rStyle w:val="VerbatimChar"/>
        </w:rPr>
        <w:t xml:space="preserve">lmer</w:t>
      </w:r>
      <w:r>
        <w:t xml:space="preserve">) were constructed to predict</w:t>
      </w:r>
      <w:r>
        <w:t xml:space="preserve"> </w:t>
      </w:r>
      <m:oMath>
        <m:sSub>
          <m:e>
            <m:r>
              <m:t>Y</m:t>
            </m:r>
          </m:e>
          <m:sub>
            <m:r>
              <m:t>r</m:t>
            </m:r>
            <m:r>
              <m:t>e</m:t>
            </m:r>
            <m:r>
              <m:t>l</m:t>
            </m:r>
            <m:r>
              <m:rPr>
                <m:sty m:val="p"/>
              </m:rPr>
              <m:t>_</m:t>
            </m:r>
            <m:r>
              <m:t>h</m:t>
            </m:r>
            <m:r>
              <m:t>i</m:t>
            </m:r>
            <m:r>
              <m:t>s</m:t>
            </m:r>
            <m:r>
              <m:t>t</m:t>
            </m:r>
          </m:sub>
        </m:sSub>
      </m:oMath>
      <w:r>
        <w:t xml:space="preserve"> </w:t>
      </w:r>
      <w:r>
        <w:t xml:space="preserve">and Relative P-Uptake. Both sets shared an identical random effects structure—</w:t>
      </w:r>
      <w:r>
        <w:rPr>
          <w:rStyle w:val="VerbatimChar"/>
        </w:rPr>
        <w:t xml:space="preserve">(1|year) + (1|Site) + (1|Site:block)</w:t>
      </w:r>
      <w:r>
        <w:t xml:space="preserve">—to absorb unmeasured pedoclimatic and meteorological variance.</w:t>
      </w:r>
    </w:p>
    <w:p>
      <w:pPr>
        <w:pStyle w:val="Compact"/>
        <w:numPr>
          <w:ilvl w:val="0"/>
          <w:numId w:val="1002"/>
        </w:numPr>
      </w:pPr>
      <w:r>
        <w:rPr>
          <w:b/>
          <w:bCs/>
        </w:rPr>
        <w:t xml:space="preserve">Model 1: The Kinetic/Thermodynamic Approach:</w:t>
      </w:r>
      <w:r>
        <w:t xml:space="preserve"> </w:t>
      </w:r>
      <w:r>
        <w:t xml:space="preserve">Utilized the novel Activity Flux (</w:t>
      </w:r>
      <m:oMath>
        <m:sSub>
          <m:e>
            <m:r>
              <m:t>J</m:t>
            </m:r>
          </m:e>
          <m:sub>
            <m:r>
              <m:t>0</m:t>
            </m:r>
          </m:sub>
        </m:sSub>
      </m:oMath>
      <w:r>
        <w:t xml:space="preserve">) as the primary fixed effect, testing the hypothesis that dynamic supply rate dictates plant availability.</w:t>
      </w:r>
    </w:p>
    <w:p>
      <w:pPr>
        <w:pStyle w:val="Compact"/>
        <w:numPr>
          <w:ilvl w:val="0"/>
          <w:numId w:val="1002"/>
        </w:numPr>
      </w:pPr>
      <w:r>
        <w:rPr>
          <w:b/>
          <w:bCs/>
        </w:rPr>
        <w:t xml:space="preserve">Model 2: The Standard STP (GRUD) Approach:</w:t>
      </w:r>
      <w:r>
        <w:t xml:space="preserve"> </w:t>
      </w:r>
      <w:r>
        <w:t xml:space="preserve">Utilized the standard Swiss static soil tests (</w:t>
      </w:r>
      <m:oMath>
        <m:sSub>
          <m:e>
            <m:r>
              <m:t>P</m:t>
            </m:r>
          </m:e>
          <m:sub>
            <m:r>
              <m:t>C</m:t>
            </m:r>
            <m:r>
              <m:t>O</m:t>
            </m:r>
            <m:r>
              <m:t>2</m:t>
            </m:r>
          </m:sub>
        </m:sSub>
      </m:oMath>
      <w:r>
        <w:t xml:space="preserve"> </w:t>
      </w:r>
      <w:r>
        <w:t xml:space="preserve">and</w:t>
      </w:r>
      <w:r>
        <w:t xml:space="preserve"> </w:t>
      </w:r>
      <m:oMath>
        <m:sSub>
          <m:e>
            <m:r>
              <m:t>P</m:t>
            </m:r>
          </m:e>
          <m:sub>
            <m:r>
              <m:t>A</m:t>
            </m:r>
            <m:r>
              <m:t>A</m:t>
            </m:r>
            <m:r>
              <m:t>E</m:t>
            </m:r>
            <m:r>
              <m:t>10</m:t>
            </m:r>
          </m:sub>
        </m:sSub>
      </m:oMath>
      <w:r>
        <w:t xml:space="preserve">) and their interaction as fixed effects.</w:t>
      </w:r>
    </w:p>
    <w:p>
      <w:pPr>
        <w:pStyle w:val="SourceCode"/>
      </w:pPr>
      <w:r>
        <w:rPr>
          <w:rStyle w:val="NormalTok"/>
        </w:rPr>
        <w:t xml:space="preserve">variables_df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Abbreviation =</w:t>
      </w:r>
      <w:r>
        <w:rPr>
          <w:rStyle w:val="NormalTok"/>
        </w:rPr>
        <w:t xml:space="preserve"> </w:t>
      </w:r>
      <w:r>
        <w:rPr>
          <w:rStyle w:val="FunctionTok"/>
        </w:rPr>
        <w:t xml:space="preserve">c</w:t>
      </w:r>
      <w:r>
        <w:rPr>
          <w:rStyle w:val="NormalTok"/>
        </w:rPr>
        <w:t xml:space="preserve">(</w:t>
      </w:r>
      <w:r>
        <w:rPr>
          <w:rStyle w:val="StringTok"/>
        </w:rPr>
        <w:t xml:space="preserve">"$Y_{rel</w:t>
      </w:r>
      <w:r>
        <w:rPr>
          <w:rStyle w:val="SpecialCharTok"/>
        </w:rPr>
        <w:t xml:space="preserve">\\</w:t>
      </w:r>
      <w:r>
        <w:rPr>
          <w:rStyle w:val="StringTok"/>
        </w:rPr>
        <w:t xml:space="preserve">_hist}$"</w:t>
      </w:r>
      <w:r>
        <w:rPr>
          <w:rStyle w:val="NormalTok"/>
        </w:rPr>
        <w:t xml:space="preserve">, </w:t>
      </w:r>
      <w:r>
        <w:rPr>
          <w:rStyle w:val="StringTok"/>
        </w:rPr>
        <w:t xml:space="preserve">"$Uptake_{rel}$"</w:t>
      </w:r>
      <w:r>
        <w:rPr>
          <w:rStyle w:val="NormalTok"/>
        </w:rPr>
        <w:t xml:space="preserve">, </w:t>
      </w:r>
      <w:r>
        <w:rPr>
          <w:rStyle w:val="StringTok"/>
        </w:rPr>
        <w:t xml:space="preserve">"$P_{bal}$"</w:t>
      </w:r>
      <w:r>
        <w:rPr>
          <w:rStyle w:val="NormalTok"/>
        </w:rPr>
        <w:t xml:space="preserve">, </w:t>
      </w:r>
      <w:r>
        <w:br/>
      </w:r>
      <w:r>
        <w:rPr>
          <w:rStyle w:val="NormalTok"/>
        </w:rPr>
        <w:t xml:space="preserve">                   </w:t>
      </w:r>
      <w:r>
        <w:rPr>
          <w:rStyle w:val="StringTok"/>
        </w:rPr>
        <w:t xml:space="preserve">"$k$"</w:t>
      </w:r>
      <w:r>
        <w:rPr>
          <w:rStyle w:val="NormalTok"/>
        </w:rPr>
        <w:t xml:space="preserve">, </w:t>
      </w:r>
      <w:r>
        <w:rPr>
          <w:rStyle w:val="StringTok"/>
        </w:rPr>
        <w:t xml:space="preserve">"$a_{max}$"</w:t>
      </w:r>
      <w:r>
        <w:rPr>
          <w:rStyle w:val="NormalTok"/>
        </w:rPr>
        <w:t xml:space="preserve">, </w:t>
      </w:r>
      <w:r>
        <w:rPr>
          <w:rStyle w:val="StringTok"/>
        </w:rPr>
        <w:t xml:space="preserve">"$J_0$"</w:t>
      </w:r>
      <w:r>
        <w:rPr>
          <w:rStyle w:val="NormalTok"/>
        </w:rPr>
        <w:t xml:space="preserve">, </w:t>
      </w:r>
      <w:r>
        <w:br/>
      </w:r>
      <w:r>
        <w:rPr>
          <w:rStyle w:val="NormalTok"/>
        </w:rPr>
        <w:t xml:space="preserve">                   </w:t>
      </w:r>
      <w:r>
        <w:rPr>
          <w:rStyle w:val="StringTok"/>
        </w:rPr>
        <w:t xml:space="preserve">"$P_{AAE10}$"</w:t>
      </w:r>
      <w:r>
        <w:rPr>
          <w:rStyle w:val="NormalTok"/>
        </w:rPr>
        <w:t xml:space="preserve">, </w:t>
      </w:r>
      <w:r>
        <w:rPr>
          <w:rStyle w:val="StringTok"/>
        </w:rPr>
        <w:t xml:space="preserve">"$</w:t>
      </w:r>
      <w:r>
        <w:rPr>
          <w:rStyle w:val="SpecialCharTok"/>
        </w:rPr>
        <w:t xml:space="preserve">\\</w:t>
      </w:r>
      <w:r>
        <w:rPr>
          <w:rStyle w:val="StringTok"/>
        </w:rPr>
        <w:t xml:space="preserve">text{PBC}$"</w:t>
      </w:r>
      <w:r>
        <w:rPr>
          <w:rStyle w:val="NormalTok"/>
        </w:rPr>
        <w:t xml:space="preserve">),</w:t>
      </w:r>
      <w:r>
        <w:br/>
      </w:r>
      <w:r>
        <w:rPr>
          <w:rStyle w:val="NormalTok"/>
        </w:rPr>
        <w:t xml:space="preserve">  </w:t>
      </w:r>
      <w:r>
        <w:rPr>
          <w:rStyle w:val="StringTok"/>
        </w:rPr>
        <w:t xml:space="preserve">`</w:t>
      </w:r>
      <w:r>
        <w:rPr>
          <w:rStyle w:val="AttributeTok"/>
        </w:rPr>
        <w:t xml:space="preserve">Variable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"Relative Yield (Historic)"</w:t>
      </w:r>
      <w:r>
        <w:rPr>
          <w:rStyle w:val="NormalTok"/>
        </w:rPr>
        <w:t xml:space="preserve">, </w:t>
      </w:r>
      <w:r>
        <w:rPr>
          <w:rStyle w:val="StringTok"/>
        </w:rPr>
        <w:t xml:space="preserve">"Relative P Uptake"</w:t>
      </w:r>
      <w:r>
        <w:rPr>
          <w:rStyle w:val="NormalTok"/>
        </w:rPr>
        <w:t xml:space="preserve">, </w:t>
      </w:r>
      <w:r>
        <w:rPr>
          <w:rStyle w:val="StringTok"/>
        </w:rPr>
        <w:t xml:space="preserve">"Cumulative P Balance"</w:t>
      </w:r>
      <w:r>
        <w:rPr>
          <w:rStyle w:val="NormalTok"/>
        </w:rPr>
        <w:t xml:space="preserve">, </w:t>
      </w:r>
      <w:r>
        <w:br/>
      </w:r>
      <w:r>
        <w:rPr>
          <w:rStyle w:val="NormalTok"/>
        </w:rPr>
        <w:t xml:space="preserve">                 </w:t>
      </w:r>
      <w:r>
        <w:rPr>
          <w:rStyle w:val="StringTok"/>
        </w:rPr>
        <w:t xml:space="preserve">"Rate Constant"</w:t>
      </w:r>
      <w:r>
        <w:rPr>
          <w:rStyle w:val="NormalTok"/>
        </w:rPr>
        <w:t xml:space="preserve">, </w:t>
      </w:r>
      <w:r>
        <w:rPr>
          <w:rStyle w:val="StringTok"/>
        </w:rPr>
        <w:t xml:space="preserve">"Maximum Activity (Intensity)"</w:t>
      </w:r>
      <w:r>
        <w:rPr>
          <w:rStyle w:val="NormalTok"/>
        </w:rPr>
        <w:t xml:space="preserve">, </w:t>
      </w:r>
      <w:r>
        <w:rPr>
          <w:rStyle w:val="StringTok"/>
        </w:rPr>
        <w:t xml:space="preserve">"Activity Flux"</w:t>
      </w:r>
      <w:r>
        <w:rPr>
          <w:rStyle w:val="NormalTok"/>
        </w:rPr>
        <w:t xml:space="preserve">, </w:t>
      </w:r>
      <w:r>
        <w:br/>
      </w:r>
      <w:r>
        <w:rPr>
          <w:rStyle w:val="NormalTok"/>
        </w:rPr>
        <w:t xml:space="preserve">                 </w:t>
      </w:r>
      <w:r>
        <w:rPr>
          <w:rStyle w:val="StringTok"/>
        </w:rPr>
        <w:t xml:space="preserve">"Standard Mass (Quantity)"</w:t>
      </w:r>
      <w:r>
        <w:rPr>
          <w:rStyle w:val="NormalTok"/>
        </w:rPr>
        <w:t xml:space="preserve">, </w:t>
      </w:r>
      <w:r>
        <w:rPr>
          <w:rStyle w:val="StringTok"/>
        </w:rPr>
        <w:t xml:space="preserve">"Phosphorus Buffering Capacity"</w:t>
      </w:r>
      <w:r>
        <w:rPr>
          <w:rStyle w:val="NormalTok"/>
        </w:rPr>
        <w:t xml:space="preserve">),</w:t>
      </w:r>
      <w:r>
        <w:br/>
      </w:r>
      <w:r>
        <w:rPr>
          <w:rStyle w:val="NormalTok"/>
        </w:rPr>
        <w:t xml:space="preserve">  </w:t>
      </w:r>
      <w:r>
        <w:rPr>
          <w:rStyle w:val="AttributeTok"/>
        </w:rPr>
        <w:t xml:space="preserve">Unit =</w:t>
      </w:r>
      <w:r>
        <w:rPr>
          <w:rStyle w:val="NormalTok"/>
        </w:rPr>
        <w:t xml:space="preserve"> </w:t>
      </w:r>
      <w:r>
        <w:rPr>
          <w:rStyle w:val="FunctionTok"/>
        </w:rPr>
        <w:t xml:space="preserve">c</w:t>
      </w:r>
      <w:r>
        <w:rPr>
          <w:rStyle w:val="NormalTok"/>
        </w:rPr>
        <w:t xml:space="preserve">(</w:t>
      </w:r>
      <w:r>
        <w:rPr>
          <w:rStyle w:val="StringTok"/>
        </w:rPr>
        <w:t xml:space="preserve">"unitless"</w:t>
      </w:r>
      <w:r>
        <w:rPr>
          <w:rStyle w:val="NormalTok"/>
        </w:rPr>
        <w:t xml:space="preserve">, </w:t>
      </w:r>
      <w:r>
        <w:rPr>
          <w:rStyle w:val="StringTok"/>
        </w:rPr>
        <w:t xml:space="preserve">"unitless"</w:t>
      </w:r>
      <w:r>
        <w:rPr>
          <w:rStyle w:val="NormalTok"/>
        </w:rPr>
        <w:t xml:space="preserve">, </w:t>
      </w:r>
      <w:r>
        <w:rPr>
          <w:rStyle w:val="StringTok"/>
        </w:rPr>
        <w:t xml:space="preserve">"kg P ha⁻¹"</w:t>
      </w:r>
      <w:r>
        <w:rPr>
          <w:rStyle w:val="NormalTok"/>
        </w:rPr>
        <w:t xml:space="preserve">, </w:t>
      </w:r>
      <w:r>
        <w:br/>
      </w:r>
      <w:r>
        <w:rPr>
          <w:rStyle w:val="NormalTok"/>
        </w:rPr>
        <w:t xml:space="preserve">           </w:t>
      </w:r>
      <w:r>
        <w:rPr>
          <w:rStyle w:val="StringTok"/>
        </w:rPr>
        <w:t xml:space="preserve">"min⁻¹"</w:t>
      </w:r>
      <w:r>
        <w:rPr>
          <w:rStyle w:val="NormalTok"/>
        </w:rPr>
        <w:t xml:space="preserve">, </w:t>
      </w:r>
      <w:r>
        <w:rPr>
          <w:rStyle w:val="StringTok"/>
        </w:rPr>
        <w:t xml:space="preserve">"µM"</w:t>
      </w:r>
      <w:r>
        <w:rPr>
          <w:rStyle w:val="NormalTok"/>
        </w:rPr>
        <w:t xml:space="preserve">, </w:t>
      </w:r>
      <w:r>
        <w:rPr>
          <w:rStyle w:val="StringTok"/>
        </w:rPr>
        <w:t xml:space="preserve">"µM min⁻¹"</w:t>
      </w:r>
      <w:r>
        <w:rPr>
          <w:rStyle w:val="NormalTok"/>
        </w:rPr>
        <w:t xml:space="preserve">, </w:t>
      </w:r>
      <w:r>
        <w:br/>
      </w:r>
      <w:r>
        <w:rPr>
          <w:rStyle w:val="NormalTok"/>
        </w:rPr>
        <w:t xml:space="preserve">           </w:t>
      </w:r>
      <w:r>
        <w:rPr>
          <w:rStyle w:val="StringTok"/>
        </w:rPr>
        <w:t xml:space="preserve">"mg P kg⁻¹"</w:t>
      </w:r>
      <w:r>
        <w:rPr>
          <w:rStyle w:val="NormalTok"/>
        </w:rPr>
        <w:t xml:space="preserve">, </w:t>
      </w:r>
      <w:r>
        <w:rPr>
          <w:rStyle w:val="StringTok"/>
        </w:rPr>
        <w:t xml:space="preserve">"mg kg⁻¹ µM⁻¹"</w:t>
      </w:r>
      <w:r>
        <w:rPr>
          <w:rStyle w:val="NormalTok"/>
        </w:rPr>
        <w:t xml:space="preserve">),</w:t>
      </w:r>
      <w:r>
        <w:br/>
      </w:r>
      <w:r>
        <w:rPr>
          <w:rStyle w:val="NormalTok"/>
        </w:rPr>
        <w:t xml:space="preserve">  </w:t>
      </w:r>
      <w:r>
        <w:rPr>
          <w:rStyle w:val="AttributeTok"/>
        </w:rPr>
        <w:t xml:space="preserve">Description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"Plot yield normalized by the site/crop-specific 95th percentile of historical well-fertilized yields."</w:t>
      </w:r>
      <w:r>
        <w:rPr>
          <w:rStyle w:val="NormalTok"/>
        </w:rPr>
        <w:t xml:space="preserve">,</w:t>
      </w:r>
      <w:r>
        <w:br/>
      </w:r>
      <w:r>
        <w:rPr>
          <w:rStyle w:val="NormalTok"/>
        </w:rPr>
        <w:t xml:space="preserve">    </w:t>
      </w:r>
      <w:r>
        <w:rPr>
          <w:rStyle w:val="StringTok"/>
        </w:rPr>
        <w:t xml:space="preserve">"Plot P-uptake normalized by historical maximum uptake for the specific site and crop."</w:t>
      </w:r>
      <w:r>
        <w:rPr>
          <w:rStyle w:val="NormalTok"/>
        </w:rPr>
        <w:t xml:space="preserve">,</w:t>
      </w:r>
      <w:r>
        <w:br/>
      </w:r>
      <w:r>
        <w:rPr>
          <w:rStyle w:val="NormalTok"/>
        </w:rPr>
        <w:t xml:space="preserve">    </w:t>
      </w:r>
      <w:r>
        <w:rPr>
          <w:rStyle w:val="StringTok"/>
        </w:rPr>
        <w:t xml:space="preserve">"Long-term net P budget (inputs minus outputs)."</w:t>
      </w:r>
      <w:r>
        <w:rPr>
          <w:rStyle w:val="NormalTok"/>
        </w:rPr>
        <w:t xml:space="preserve">,</w:t>
      </w:r>
      <w:r>
        <w:br/>
      </w:r>
      <w:r>
        <w:rPr>
          <w:rStyle w:val="NormalTok"/>
        </w:rPr>
        <w:t xml:space="preserve">    </w:t>
      </w:r>
      <w:r>
        <w:rPr>
          <w:rStyle w:val="StringTok"/>
        </w:rPr>
        <w:t xml:space="preserve">"First-order rate constant of P desorption."</w:t>
      </w:r>
      <w:r>
        <w:rPr>
          <w:rStyle w:val="NormalTok"/>
        </w:rPr>
        <w:t xml:space="preserve">,</w:t>
      </w:r>
      <w:r>
        <w:br/>
      </w:r>
      <w:r>
        <w:rPr>
          <w:rStyle w:val="NormalTok"/>
        </w:rPr>
        <w:t xml:space="preserve">    </w:t>
      </w:r>
      <w:r>
        <w:rPr>
          <w:rStyle w:val="StringTok"/>
        </w:rPr>
        <w:t xml:space="preserve">"Davies-corrected thermodynamic activity asymptote of the water-desorbable P pool."</w:t>
      </w:r>
      <w:r>
        <w:rPr>
          <w:rStyle w:val="NormalTok"/>
        </w:rPr>
        <w:t xml:space="preserve">,</w:t>
      </w:r>
      <w:r>
        <w:br/>
      </w:r>
      <w:r>
        <w:rPr>
          <w:rStyle w:val="NormalTok"/>
        </w:rPr>
        <w:t xml:space="preserve">    </w:t>
      </w:r>
      <w:r>
        <w:rPr>
          <w:rStyle w:val="StringTok"/>
        </w:rPr>
        <w:t xml:space="preserve">"Initial thermodynamic supply rate, calculated as $k </w:t>
      </w:r>
      <w:r>
        <w:rPr>
          <w:rStyle w:val="SpecialCharTok"/>
        </w:rPr>
        <w:t xml:space="preserve">\\</w:t>
      </w:r>
      <w:r>
        <w:rPr>
          <w:rStyle w:val="StringTok"/>
        </w:rPr>
        <w:t xml:space="preserve">times a_{max}$."</w:t>
      </w:r>
      <w:r>
        <w:rPr>
          <w:rStyle w:val="NormalTok"/>
        </w:rPr>
        <w:t xml:space="preserve">,</w:t>
      </w:r>
      <w:r>
        <w:br/>
      </w:r>
      <w:r>
        <w:rPr>
          <w:rStyle w:val="NormalTok"/>
        </w:rPr>
        <w:t xml:space="preserve">    </w:t>
      </w:r>
      <w:r>
        <w:rPr>
          <w:rStyle w:val="StringTok"/>
        </w:rPr>
        <w:t xml:space="preserve">"Physical mass of extractable P (AAE10 method), acting as the Q-factor."</w:t>
      </w:r>
      <w:r>
        <w:rPr>
          <w:rStyle w:val="NormalTok"/>
        </w:rPr>
        <w:t xml:space="preserve">,</w:t>
      </w:r>
      <w:r>
        <w:br/>
      </w:r>
      <w:r>
        <w:rPr>
          <w:rStyle w:val="NormalTok"/>
        </w:rPr>
        <w:t xml:space="preserve">    </w:t>
      </w:r>
      <w:r>
        <w:rPr>
          <w:rStyle w:val="StringTok"/>
        </w:rPr>
        <w:t xml:space="preserve">"The mathematical derivative ($dQ/dI$) of the site-specific Freundlich isotherm."</w:t>
      </w:r>
      <w:r>
        <w:br/>
      </w:r>
      <w:r>
        <w:rPr>
          <w:rStyle w:val="NormalTok"/>
        </w:rPr>
        <w:t xml:space="preserve">  )</w:t>
      </w:r>
      <w:r>
        <w:br/>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(variables_df)</w:t>
      </w:r>
    </w:p>
    <w:tbl>
      <w:tblPr>
        <w:tblStyle w:val="Table"/>
        <w:tblW w:type="pct" w:w="5000"/>
        <w:tblLayout w:type="fixed"/>
        <w:tblLook w:firstRow="0" w:lastRow="0" w:firstColumn="0" w:lastColumn="0" w:noHBand="0" w:noVBand="0" w:val="0000"/>
      </w:tblPr>
      <w:tblGrid>
        <w:gridCol w:w="7920"/>
      </w:tblGrid>
      <w:tr>
        <w:tc>
          <w:tcPr/>
          <w:bookmarkStart w:id="18" w:name="tbl-variables-updated"/>
          <w:p>
            <w:pPr>
              <w:jc w:val="center"/>
            </w:pPr>
            <w:pPr>
              <w:jc w:val="left"/>
              <w:spacing w:before="200"/>
              <w:pStyle w:val="ImageCaption"/>
            </w:pPr>
            <w:r>
              <w:t xml:space="preserve">Table 2: Description of key variables used in the thermodynamic and agronomic models.</w:t>
            </w:r>
          </w:p>
          <w:tbl>
            <w:tblPr>
              <w:tblStyle w:val="Table"/>
              <w:tblW w:type="pct" w:w="5000"/>
              <w:tblLayout w:type="fixed"/>
              <w:tblLook w:firstRow="1" w:lastRow="0" w:firstColumn="0" w:lastColumn="0" w:noHBand="0" w:noVBand="0" w:val="0020"/>
            </w:tblPr>
            <w:tblGrid>
              <w:gridCol w:w="787"/>
              <w:gridCol w:w="1475"/>
              <w:gridCol w:w="639"/>
              <w:gridCol w:w="5017"/>
            </w:tblGrid>
            <w:tr>
              <w:trPr>
                <w:tblHeader w:val="on"/>
              </w:trPr>
              <w:tc>
                <w:tcPr/>
                <w:p>
                  <w:pPr>
                    <w:pStyle w:val="Compact"/>
                    <w:jc w:val="left"/>
                    <w:jc w:val="center"/>
                  </w:pPr>
                  <w:r>
                    <w:t xml:space="preserve">Abbreviation</w:t>
                  </w:r>
                </w:p>
              </w:tc>
              <w:tc>
                <w:tcPr/>
                <w:p>
                  <w:pPr>
                    <w:pStyle w:val="Compact"/>
                    <w:jc w:val="left"/>
                    <w:jc w:val="center"/>
                  </w:pPr>
                  <w:r>
                    <w:t xml:space="preserve">Variable</w:t>
                  </w:r>
                </w:p>
              </w:tc>
              <w:tc>
                <w:tcPr/>
                <w:p>
                  <w:pPr>
                    <w:pStyle w:val="Compact"/>
                    <w:jc w:val="left"/>
                    <w:jc w:val="center"/>
                  </w:pPr>
                  <w:r>
                    <w:t xml:space="preserve">Unit</w:t>
                  </w:r>
                </w:p>
              </w:tc>
              <w:tc>
                <w:tcPr/>
                <w:p>
                  <w:pPr>
                    <w:pStyle w:val="Compact"/>
                    <w:jc w:val="left"/>
                    <w:jc w:val="center"/>
                  </w:pPr>
                  <w:r>
                    <w:t xml:space="preserve">Description</w:t>
                  </w:r>
                </w:p>
              </w:tc>
            </w:tr>
            <w:tr>
              <w:tc>
                <w:tcPr/>
                <w:p>
                  <w:pPr>
                    <w:pStyle w:val="Compact"/>
                    <w:jc w:val="left"/>
                    <w:jc w:val="center"/>
                  </w:pPr>
                  <m:oMath>
                    <m:sSub>
                      <m:e>
                        <m:r>
                          <m:t>Y</m:t>
                        </m:r>
                      </m:e>
                      <m:sub>
                        <m:r>
                          <m:t>r</m:t>
                        </m:r>
                        <m:r>
                          <m:t>e</m:t>
                        </m:r>
                        <m:r>
                          <m:t>l</m:t>
                        </m:r>
                        <m:r>
                          <m:rPr>
                            <m:sty m:val="p"/>
                          </m:rPr>
                          <m:t>_</m:t>
                        </m:r>
                        <m:r>
                          <m:t>h</m:t>
                        </m:r>
                        <m:r>
                          <m:t>i</m:t>
                        </m:r>
                        <m:r>
                          <m:t>s</m:t>
                        </m:r>
                        <m:r>
                          <m:t>t</m:t>
                        </m:r>
                      </m:sub>
                    </m:sSub>
                  </m:oMath>
                </w:p>
              </w:tc>
              <w:tc>
                <w:tcPr/>
                <w:p>
                  <w:pPr>
                    <w:pStyle w:val="Compact"/>
                    <w:jc w:val="left"/>
                    <w:jc w:val="center"/>
                  </w:pPr>
                  <w:r>
                    <w:t xml:space="preserve">Relative Yield (Historic)</w:t>
                  </w:r>
                </w:p>
              </w:tc>
              <w:tc>
                <w:tcPr/>
                <w:p>
                  <w:pPr>
                    <w:pStyle w:val="Compact"/>
                    <w:jc w:val="left"/>
                    <w:jc w:val="center"/>
                  </w:pPr>
                  <w:r>
                    <w:t xml:space="preserve">unitless</w:t>
                  </w:r>
                </w:p>
              </w:tc>
              <w:tc>
                <w:tcPr/>
                <w:p>
                  <w:pPr>
                    <w:pStyle w:val="Compact"/>
                    <w:jc w:val="left"/>
                    <w:jc w:val="center"/>
                  </w:pPr>
                  <w:r>
                    <w:t xml:space="preserve">Plot yield normalized by the site/crop-specific 95th percentile of historical well-fertilized yields.</w:t>
                  </w:r>
                </w:p>
              </w:tc>
            </w:tr>
            <w:tr>
              <w:tc>
                <w:tcPr/>
                <w:p>
                  <w:pPr>
                    <w:pStyle w:val="Compact"/>
                    <w:jc w:val="left"/>
                    <w:jc w:val="center"/>
                  </w:pPr>
                  <m:oMath>
                    <m:r>
                      <m:t>U</m:t>
                    </m:r>
                    <m:r>
                      <m:t>p</m:t>
                    </m:r>
                    <m:r>
                      <m:t>t</m:t>
                    </m:r>
                    <m:r>
                      <m:t>a</m:t>
                    </m:r>
                    <m:r>
                      <m:t>k</m:t>
                    </m:r>
                    <m:sSub>
                      <m:e>
                        <m:r>
                          <m:t>e</m:t>
                        </m:r>
                      </m:e>
                      <m:sub>
                        <m:r>
                          <m:t>r</m:t>
                        </m:r>
                        <m:r>
                          <m:t>e</m:t>
                        </m:r>
                        <m:r>
                          <m:t>l</m:t>
                        </m:r>
                      </m:sub>
                    </m:sSub>
                  </m:oMath>
                </w:p>
              </w:tc>
              <w:tc>
                <w:tcPr/>
                <w:p>
                  <w:pPr>
                    <w:pStyle w:val="Compact"/>
                    <w:jc w:val="left"/>
                    <w:jc w:val="center"/>
                  </w:pPr>
                  <w:r>
                    <w:t xml:space="preserve">Relative P Uptake</w:t>
                  </w:r>
                </w:p>
              </w:tc>
              <w:tc>
                <w:tcPr/>
                <w:p>
                  <w:pPr>
                    <w:pStyle w:val="Compact"/>
                    <w:jc w:val="left"/>
                    <w:jc w:val="center"/>
                  </w:pPr>
                  <w:r>
                    <w:t xml:space="preserve">unitless</w:t>
                  </w:r>
                </w:p>
              </w:tc>
              <w:tc>
                <w:tcPr/>
                <w:p>
                  <w:pPr>
                    <w:pStyle w:val="Compact"/>
                    <w:jc w:val="left"/>
                    <w:jc w:val="center"/>
                  </w:pPr>
                  <w:r>
                    <w:t xml:space="preserve">Plot P-uptake normalized by historical maximum uptake for the specific site and crop.</w:t>
                  </w:r>
                </w:p>
              </w:tc>
            </w:tr>
            <w:tr>
              <w:tc>
                <w:tcPr/>
                <w:p>
                  <w:pPr>
                    <w:pStyle w:val="Compact"/>
                    <w:jc w:val="left"/>
                    <w:jc w:val="center"/>
                  </w:pPr>
                  <m:oMath>
                    <m:sSub>
                      <m:e>
                        <m:r>
                          <m:t>P</m:t>
                        </m:r>
                      </m:e>
                      <m:sub>
                        <m:r>
                          <m:t>b</m:t>
                        </m:r>
                        <m:r>
                          <m:t>a</m:t>
                        </m:r>
                        <m:r>
                          <m:t>l</m:t>
                        </m:r>
                      </m:sub>
                    </m:sSub>
                  </m:oMath>
                </w:p>
              </w:tc>
              <w:tc>
                <w:tcPr/>
                <w:p>
                  <w:pPr>
                    <w:pStyle w:val="Compact"/>
                    <w:jc w:val="left"/>
                    <w:jc w:val="center"/>
                  </w:pPr>
                  <w:r>
                    <w:t xml:space="preserve">Cumulative P Balance</w:t>
                  </w:r>
                </w:p>
              </w:tc>
              <w:tc>
                <w:tcPr/>
                <w:p>
                  <w:pPr>
                    <w:pStyle w:val="Compact"/>
                    <w:jc w:val="left"/>
                    <w:jc w:val="center"/>
                  </w:pPr>
                  <w:r>
                    <w:t xml:space="preserve">kg P ha⁻¹</w:t>
                  </w:r>
                </w:p>
              </w:tc>
              <w:tc>
                <w:tcPr/>
                <w:p>
                  <w:pPr>
                    <w:pStyle w:val="Compact"/>
                    <w:jc w:val="left"/>
                    <w:jc w:val="center"/>
                  </w:pPr>
                  <w:r>
                    <w:t xml:space="preserve">Long-term net P budget (inputs minus outputs).</w:t>
                  </w:r>
                </w:p>
              </w:tc>
            </w:tr>
            <w:tr>
              <w:tc>
                <w:tcPr/>
                <w:p>
                  <w:pPr>
                    <w:pStyle w:val="Compact"/>
                    <w:jc w:val="left"/>
                    <w:jc w:val="center"/>
                  </w:pPr>
                  <m:oMath>
                    <m:r>
                      <m:t>k</m:t>
                    </m:r>
                  </m:oMath>
                </w:p>
              </w:tc>
              <w:tc>
                <w:tcPr/>
                <w:p>
                  <w:pPr>
                    <w:pStyle w:val="Compact"/>
                    <w:jc w:val="left"/>
                    <w:jc w:val="center"/>
                  </w:pPr>
                  <w:r>
                    <w:t xml:space="preserve">Rate Constant</w:t>
                  </w:r>
                </w:p>
              </w:tc>
              <w:tc>
                <w:tcPr/>
                <w:p>
                  <w:pPr>
                    <w:pStyle w:val="Compact"/>
                    <w:jc w:val="left"/>
                    <w:jc w:val="center"/>
                  </w:pPr>
                  <w:r>
                    <w:t xml:space="preserve">min⁻¹</w:t>
                  </w:r>
                </w:p>
              </w:tc>
              <w:tc>
                <w:tcPr/>
                <w:p>
                  <w:pPr>
                    <w:pStyle w:val="Compact"/>
                    <w:jc w:val="left"/>
                    <w:jc w:val="center"/>
                  </w:pPr>
                  <w:r>
                    <w:t xml:space="preserve">First-order rate constant of P desorption.</w:t>
                  </w:r>
                </w:p>
              </w:tc>
            </w:tr>
            <w:tr>
              <w:tc>
                <w:tcPr/>
                <w:p>
                  <w:pPr>
                    <w:pStyle w:val="Compact"/>
                    <w:jc w:val="left"/>
                    <w:jc w:val="center"/>
                  </w:pPr>
                  <m:oMath>
                    <m:sSub>
                      <m:e>
                        <m:r>
                          <m:t>a</m:t>
                        </m:r>
                      </m:e>
                      <m:sub>
                        <m:r>
                          <m:t>m</m:t>
                        </m:r>
                        <m:r>
                          <m:t>a</m:t>
                        </m:r>
                        <m:r>
                          <m:t>x</m:t>
                        </m:r>
                      </m:sub>
                    </m:sSub>
                  </m:oMath>
                </w:p>
              </w:tc>
              <w:tc>
                <w:tcPr/>
                <w:p>
                  <w:pPr>
                    <w:pStyle w:val="Compact"/>
                    <w:jc w:val="left"/>
                    <w:jc w:val="center"/>
                  </w:pPr>
                  <w:r>
                    <w:t xml:space="preserve">Maximum Activity (Intensity)</w:t>
                  </w:r>
                </w:p>
              </w:tc>
              <w:tc>
                <w:tcPr/>
                <w:p>
                  <w:pPr>
                    <w:pStyle w:val="Compact"/>
                    <w:jc w:val="left"/>
                    <w:jc w:val="center"/>
                  </w:pPr>
                  <w:r>
                    <w:t xml:space="preserve">µM</w:t>
                  </w:r>
                </w:p>
              </w:tc>
              <w:tc>
                <w:tcPr/>
                <w:p>
                  <w:pPr>
                    <w:pStyle w:val="Compact"/>
                    <w:jc w:val="left"/>
                    <w:jc w:val="center"/>
                  </w:pPr>
                  <w:r>
                    <w:t xml:space="preserve">Davies-corrected thermodynamic activity asymptote of the water-desorbable P pool.</w:t>
                  </w:r>
                </w:p>
              </w:tc>
            </w:tr>
            <w:tr>
              <w:tc>
                <w:tcPr/>
                <w:p>
                  <w:pPr>
                    <w:pStyle w:val="Compact"/>
                    <w:jc w:val="left"/>
                    <w:jc w:val="center"/>
                  </w:pPr>
                  <m:oMath>
                    <m:sSub>
                      <m:e>
                        <m:r>
                          <m:t>J</m:t>
                        </m:r>
                      </m:e>
                      <m:sub>
                        <m:r>
                          <m:t>0</m:t>
                        </m:r>
                      </m:sub>
                    </m:sSub>
                  </m:oMath>
                </w:p>
              </w:tc>
              <w:tc>
                <w:tcPr/>
                <w:p>
                  <w:pPr>
                    <w:pStyle w:val="Compact"/>
                    <w:jc w:val="left"/>
                    <w:jc w:val="center"/>
                  </w:pPr>
                  <w:r>
                    <w:t xml:space="preserve">Activity Flux</w:t>
                  </w:r>
                </w:p>
              </w:tc>
              <w:tc>
                <w:tcPr/>
                <w:p>
                  <w:pPr>
                    <w:pStyle w:val="Compact"/>
                    <w:jc w:val="left"/>
                    <w:jc w:val="center"/>
                  </w:pPr>
                  <w:r>
                    <w:t xml:space="preserve">µM min⁻¹</w:t>
                  </w:r>
                </w:p>
              </w:tc>
              <w:tc>
                <w:tcPr/>
                <w:p>
                  <w:pPr>
                    <w:pStyle w:val="Compact"/>
                    <w:jc w:val="left"/>
                    <w:jc w:val="center"/>
                  </w:pPr>
                  <w:r>
                    <w:t xml:space="preserve">Initial thermodynamic supply rate, calculated as</w:t>
                  </w:r>
                  <w:r>
                    <w:t xml:space="preserve"> </w:t>
                  </w:r>
                  <m:oMath>
                    <m:r>
                      <m:t>k</m:t>
                    </m:r>
                    <m:r>
                      <m:rPr>
                        <m:sty m:val="p"/>
                      </m:rPr>
                      <m:t>×</m:t>
                    </m:r>
                    <m:sSub>
                      <m:e>
                        <m:r>
                          <m:t>a</m:t>
                        </m:r>
                      </m:e>
                      <m:sub>
                        <m:r>
                          <m:t>m</m:t>
                        </m:r>
                        <m:r>
                          <m:t>a</m:t>
                        </m:r>
                        <m:r>
                          <m:t>x</m:t>
                        </m:r>
                      </m:sub>
                    </m:sSub>
                  </m:oMath>
                  <w:r>
                    <w:t xml:space="preserve">.</w:t>
                  </w:r>
                </w:p>
              </w:tc>
            </w:tr>
            <w:tr>
              <w:tc>
                <w:tcPr/>
                <w:p>
                  <w:pPr>
                    <w:pStyle w:val="Compact"/>
                    <w:jc w:val="left"/>
                    <w:jc w:val="center"/>
                  </w:pPr>
                  <m:oMath>
                    <m:sSub>
                      <m:e>
                        <m:r>
                          <m:t>P</m:t>
                        </m:r>
                      </m:e>
                      <m:sub>
                        <m:r>
                          <m:t>A</m:t>
                        </m:r>
                        <m:r>
                          <m:t>A</m:t>
                        </m:r>
                        <m:r>
                          <m:t>E</m:t>
                        </m:r>
                        <m:r>
                          <m:t>10</m:t>
                        </m:r>
                      </m:sub>
                    </m:sSub>
                  </m:oMath>
                </w:p>
              </w:tc>
              <w:tc>
                <w:tcPr/>
                <w:p>
                  <w:pPr>
                    <w:pStyle w:val="Compact"/>
                    <w:jc w:val="left"/>
                    <w:jc w:val="center"/>
                  </w:pPr>
                  <w:r>
                    <w:t xml:space="preserve">Standard Mass (Quantity)</w:t>
                  </w:r>
                </w:p>
              </w:tc>
              <w:tc>
                <w:tcPr/>
                <w:p>
                  <w:pPr>
                    <w:pStyle w:val="Compact"/>
                    <w:jc w:val="left"/>
                    <w:jc w:val="center"/>
                  </w:pPr>
                  <w:r>
                    <w:t xml:space="preserve">mg P kg⁻¹</w:t>
                  </w:r>
                </w:p>
              </w:tc>
              <w:tc>
                <w:tcPr/>
                <w:p>
                  <w:pPr>
                    <w:pStyle w:val="Compact"/>
                    <w:jc w:val="left"/>
                    <w:jc w:val="center"/>
                  </w:pPr>
                  <w:r>
                    <w:t xml:space="preserve">Physical mass of extractable P (AAE10 method), acting as the Q-factor.</w:t>
                  </w:r>
                </w:p>
              </w:tc>
            </w:tr>
            <w:tr>
              <w:tc>
                <w:tcPr/>
                <w:p>
                  <w:pPr>
                    <w:pStyle w:val="Compact"/>
                    <w:jc w:val="left"/>
                    <w:jc w:val="center"/>
                  </w:pPr>
                  <m:oMath>
                    <m:r>
                      <m:rPr>
                        <m:nor/>
                        <m:sty m:val="p"/>
                      </m:rPr>
                      <m:t>PBC</m:t>
                    </m:r>
                  </m:oMath>
                </w:p>
              </w:tc>
              <w:tc>
                <w:tcPr/>
                <w:p>
                  <w:pPr>
                    <w:pStyle w:val="Compact"/>
                    <w:jc w:val="left"/>
                    <w:jc w:val="center"/>
                  </w:pPr>
                  <w:r>
                    <w:t xml:space="preserve">Phosphorus Buffering Capacity</w:t>
                  </w:r>
                </w:p>
              </w:tc>
              <w:tc>
                <w:tcPr/>
                <w:p>
                  <w:pPr>
                    <w:pStyle w:val="Compact"/>
                    <w:jc w:val="left"/>
                    <w:jc w:val="center"/>
                  </w:pPr>
                  <w:r>
                    <w:t xml:space="preserve">mg kg⁻¹ µM⁻¹</w:t>
                  </w:r>
                </w:p>
              </w:tc>
              <w:tc>
                <w:tcPr/>
                <w:p>
                  <w:pPr>
                    <w:pStyle w:val="Compact"/>
                    <w:jc w:val="left"/>
                    <w:jc w:val="center"/>
                  </w:pPr>
                  <w:r>
                    <w:t xml:space="preserve">The mathematical derivative (</w:t>
                  </w:r>
                  <m:oMath>
                    <m:r>
                      <m:t>d</m:t>
                    </m:r>
                    <m:r>
                      <m:t>Q</m:t>
                    </m:r>
                    <m:r>
                      <m:rPr>
                        <m:sty m:val="p"/>
                      </m:rPr>
                      <m:t>/</m:t>
                    </m:r>
                    <m:r>
                      <m:t>d</m:t>
                    </m:r>
                    <m:r>
                      <m:t>I</m:t>
                    </m:r>
                  </m:oMath>
                  <w:r>
                    <w:t xml:space="preserve">) of the site-specific Freundlich isotherm.</w:t>
                  </w:r>
                </w:p>
              </w:tc>
            </w:tr>
          </w:tbl>
          <w:bookmarkEnd w:id="18"/>
          <w:p/>
        </w:tc>
      </w:tr>
    </w:tbl>
    <w:bookmarkEnd w:id="19"/>
    <w:bookmarkStart w:id="31" w:name="X44bb14175a86972320c11f91acf6da54ae42ffd"/>
    <w:p>
      <w:pPr>
        <w:pStyle w:val="Heading3"/>
      </w:pPr>
      <w:r>
        <w:t xml:space="preserve">1.4.5 5. Mechanistic Modeling of the Rhizosphere (Barber-Cushman Modification)</w:t>
      </w:r>
    </w:p>
    <w:p>
      <w:pPr>
        <w:pStyle w:val="FirstParagraph"/>
      </w:pPr>
      <w:r>
        <w:t xml:space="preserve">To mechanistically validate the field-scale statistical findings and visualize the limitations of static buffering capacity, a modified radial transport model based on Barber-Cushman principles was constructed. Standard iterations of the Barber-Cushman model calculate radial diffusion using stoichiometric concentration (</w:t>
      </w:r>
      <m:oMath>
        <m:sSub>
          <m:e>
            <m:r>
              <m:t>C</m:t>
            </m:r>
          </m:e>
          <m:sub>
            <m:r>
              <m:t>l</m:t>
            </m:r>
          </m:sub>
        </m:sSub>
      </m:oMath>
      <w:r>
        <w:t xml:space="preserve">) and a static buffer power (</w:t>
      </w:r>
      <m:oMath>
        <m:r>
          <m:t>b</m:t>
        </m:r>
        <m:r>
          <m:rPr>
            <m:sty m:val="p"/>
          </m:rPr>
          <m:t>=</m:t>
        </m:r>
        <m:r>
          <m:rPr>
            <m:sty m:val="p"/>
          </m:rPr>
          <m:t>Δ</m:t>
        </m:r>
        <m:r>
          <m:t>Q</m:t>
        </m:r>
        <m:r>
          <m:rPr>
            <m:sty m:val="p"/>
          </m:rPr>
          <m:t>/</m:t>
        </m:r>
        <m:r>
          <m:rPr>
            <m:sty m:val="p"/>
          </m:rPr>
          <m:t>Δ</m:t>
        </m:r>
        <m:r>
          <m:t>I</m:t>
        </m:r>
      </m:oMath>
      <w:r>
        <w:t xml:space="preserve">), effectively assuming instantaneous soil-solution equilibrium.</w:t>
      </w:r>
    </w:p>
    <w:p>
      <w:pPr>
        <w:pStyle w:val="BodyText"/>
      </w:pPr>
      <w:r>
        <w:t xml:space="preserve">To reflect the kinetic bottlenecks identified in this study, the partial differential equation (PDE) for radial transport in cylindrical coordinates was modified. The driving gradient was shifted to thermodynamic activity (</w:t>
      </w:r>
      <m:oMath>
        <m:sSub>
          <m:e>
            <m:r>
              <m:t>a</m:t>
            </m:r>
          </m:e>
          <m:sub>
            <m:r>
              <m:t>l</m:t>
            </m:r>
          </m:sub>
        </m:sSub>
      </m:oMath>
      <w:r>
        <w:t xml:space="preserve">), and the static buffer power was replaced with a dynamic, first-order kinetic source term (</w:t>
      </w:r>
      <m:oMath>
        <m:sSub>
          <m:e>
            <m:r>
              <m:t>R</m:t>
            </m:r>
          </m:e>
          <m:sub>
            <m:r>
              <m:t>d</m:t>
            </m:r>
            <m:r>
              <m:t>e</m:t>
            </m:r>
            <m:r>
              <m:t>s</m:t>
            </m:r>
            <m:r>
              <m:t>o</m:t>
            </m:r>
            <m:r>
              <m:t>r</m:t>
            </m:r>
            <m:r>
              <m:t>p</m:t>
            </m:r>
            <m:r>
              <m:t>t</m:t>
            </m:r>
            <m:r>
              <m:t>i</m:t>
            </m:r>
            <m:r>
              <m:t>o</m:t>
            </m:r>
            <m:r>
              <m:t>n</m:t>
            </m:r>
          </m:sub>
        </m:sSub>
      </m:oMath>
      <w:r>
        <w:t xml:space="preserve">):</w:t>
      </w:r>
    </w:p>
    <w:p>
      <w:pPr>
        <w:pStyle w:val="BodyText"/>
      </w:pPr>
      <m:oMathPara>
        <m:oMathParaPr>
          <m:jc m:val="center"/>
        </m:oMathParaPr>
        <m:oMath>
          <m:f>
            <m:fPr>
              <m:type m:val="bar"/>
            </m:fPr>
            <m:num>
              <m:r>
                <m:rPr>
                  <m:sty m:val="p"/>
                </m:rPr>
                <m:t>∂</m:t>
              </m:r>
              <m:sSub>
                <m:e>
                  <m:r>
                    <m:t>a</m:t>
                  </m:r>
                </m:e>
                <m:sub>
                  <m:r>
                    <m:t>l</m:t>
                  </m:r>
                </m:sub>
              </m:sSub>
            </m:num>
            <m:den>
              <m:r>
                <m:rPr>
                  <m:sty m:val="p"/>
                </m:rPr>
                <m:t>∂</m:t>
              </m:r>
              <m:r>
                <m:t>t</m:t>
              </m:r>
            </m:den>
          </m:f>
          <m:r>
            <m:rPr>
              <m:sty m:val="p"/>
            </m:rPr>
            <m:t>=</m:t>
          </m:r>
          <m:sSub>
            <m:e>
              <m:r>
                <m:t>D</m:t>
              </m:r>
            </m:e>
            <m:sub>
              <m:r>
                <m:t>e</m:t>
              </m:r>
            </m:sub>
          </m:sSub>
          <m:d>
            <m:dPr>
              <m:begChr m:val="("/>
              <m:sepChr m:val=""/>
              <m:endChr m:val=")"/>
              <m:grow/>
            </m:dPr>
            <m:e>
              <m:f>
                <m:fPr>
                  <m:type m:val="bar"/>
                </m:fPr>
                <m:num>
                  <m:sSup>
                    <m:e>
                      <m:r>
                        <m:rPr>
                          <m:sty m:val="p"/>
                        </m:rPr>
                        <m:t>∂</m:t>
                      </m:r>
                    </m:e>
                    <m:sup>
                      <m:r>
                        <m:t>2</m:t>
                      </m:r>
                    </m:sup>
                  </m:sSup>
                  <m:sSub>
                    <m:e>
                      <m:r>
                        <m:t>a</m:t>
                      </m:r>
                    </m:e>
                    <m:sub>
                      <m:r>
                        <m:t>l</m:t>
                      </m:r>
                    </m:sub>
                  </m:sSub>
                </m:num>
                <m:den>
                  <m:r>
                    <m:rPr>
                      <m:sty m:val="p"/>
                    </m:rPr>
                    <m:t>∂</m:t>
                  </m:r>
                  <m:sSup>
                    <m:e>
                      <m:r>
                        <m:t>r</m:t>
                      </m:r>
                    </m:e>
                    <m:sup>
                      <m:r>
                        <m:t>2</m:t>
                      </m:r>
                    </m:sup>
                  </m:sSup>
                </m:den>
              </m:f>
              <m:r>
                <m:rPr>
                  <m:sty m:val="p"/>
                </m:rPr>
                <m:t>+</m:t>
              </m:r>
              <m:f>
                <m:fPr>
                  <m:type m:val="bar"/>
                </m:fPr>
                <m:num>
                  <m:r>
                    <m:t>1</m:t>
                  </m:r>
                </m:num>
                <m:den>
                  <m:r>
                    <m:t>r</m:t>
                  </m:r>
                </m:den>
              </m:f>
              <m:f>
                <m:fPr>
                  <m:type m:val="bar"/>
                </m:fPr>
                <m:num>
                  <m:r>
                    <m:rPr>
                      <m:sty m:val="p"/>
                    </m:rPr>
                    <m:t>∂</m:t>
                  </m:r>
                  <m:sSub>
                    <m:e>
                      <m:r>
                        <m:t>a</m:t>
                      </m:r>
                    </m:e>
                    <m:sub>
                      <m:r>
                        <m:t>l</m:t>
                      </m:r>
                    </m:sub>
                  </m:sSub>
                </m:num>
                <m:den>
                  <m:r>
                    <m:rPr>
                      <m:sty m:val="p"/>
                    </m:rPr>
                    <m:t>∂</m:t>
                  </m:r>
                  <m:r>
                    <m:t>r</m:t>
                  </m:r>
                </m:den>
              </m:f>
            </m:e>
          </m:d>
          <m:r>
            <m:rPr>
              <m:sty m:val="p"/>
            </m:rPr>
            <m:t>+</m:t>
          </m:r>
          <m:f>
            <m:fPr>
              <m:type m:val="bar"/>
            </m:fPr>
            <m:num>
              <m:sSub>
                <m:e>
                  <m:r>
                    <m:t>r</m:t>
                  </m:r>
                </m:e>
                <m:sub>
                  <m:r>
                    <m:t>0</m:t>
                  </m:r>
                </m:sub>
              </m:sSub>
              <m:sSub>
                <m:e>
                  <m:r>
                    <m:t>v</m:t>
                  </m:r>
                </m:e>
                <m:sub>
                  <m:r>
                    <m:t>0</m:t>
                  </m:r>
                </m:sub>
              </m:sSub>
            </m:num>
            <m:den>
              <m:r>
                <m:t>r</m:t>
              </m:r>
            </m:den>
          </m:f>
          <m:f>
            <m:fPr>
              <m:type m:val="bar"/>
            </m:fPr>
            <m:num>
              <m:r>
                <m:rPr>
                  <m:sty m:val="p"/>
                </m:rPr>
                <m:t>∂</m:t>
              </m:r>
              <m:sSub>
                <m:e>
                  <m:r>
                    <m:t>a</m:t>
                  </m:r>
                </m:e>
                <m:sub>
                  <m:r>
                    <m:t>l</m:t>
                  </m:r>
                </m:sub>
              </m:sSub>
            </m:num>
            <m:den>
              <m:r>
                <m:rPr>
                  <m:sty m:val="p"/>
                </m:rPr>
                <m:t>∂</m:t>
              </m:r>
              <m:r>
                <m:t>r</m:t>
              </m:r>
            </m:den>
          </m:f>
          <m:r>
            <m:rPr>
              <m:sty m:val="p"/>
            </m:rPr>
            <m:t>+</m:t>
          </m:r>
          <m:sSub>
            <m:e>
              <m:r>
                <m:t>R</m:t>
              </m:r>
            </m:e>
            <m:sub>
              <m:r>
                <m:t>d</m:t>
              </m:r>
              <m:r>
                <m:t>e</m:t>
              </m:r>
              <m:r>
                <m:t>s</m:t>
              </m:r>
              <m:r>
                <m:t>o</m:t>
              </m:r>
              <m:r>
                <m:t>r</m:t>
              </m:r>
              <m:r>
                <m:t>p</m:t>
              </m:r>
              <m:r>
                <m:t>t</m:t>
              </m:r>
              <m:r>
                <m:t>i</m:t>
              </m:r>
              <m:r>
                <m:t>o</m:t>
              </m:r>
              <m:r>
                <m:t>n</m:t>
              </m:r>
            </m:sub>
          </m:sSub>
        </m:oMath>
      </m:oMathPara>
    </w:p>
    <w:p>
      <w:pPr>
        <w:pStyle w:val="FirstParagraph"/>
      </w:pPr>
      <w:r>
        <w:t xml:space="preserve">Where</w:t>
      </w:r>
      <w:r>
        <w:t xml:space="preserve"> </w:t>
      </w:r>
      <m:oMath>
        <m:sSub>
          <m:e>
            <m:r>
              <m:t>D</m:t>
            </m:r>
          </m:e>
          <m:sub>
            <m:r>
              <m:t>e</m:t>
            </m:r>
          </m:sub>
        </m:sSub>
      </m:oMath>
      <w:r>
        <w:t xml:space="preserve"> </w:t>
      </w:r>
      <w:r>
        <w:t xml:space="preserve">is the effective diffusion coefficient,</w:t>
      </w:r>
      <w:r>
        <w:t xml:space="preserve"> </w:t>
      </w:r>
      <m:oMath>
        <m:r>
          <m:t>r</m:t>
        </m:r>
      </m:oMath>
      <w:r>
        <w:t xml:space="preserve"> </w:t>
      </w:r>
      <w:r>
        <w:t xml:space="preserve">is the radial distance,</w:t>
      </w:r>
      <w:r>
        <w:t xml:space="preserve"> </w:t>
      </w:r>
      <m:oMath>
        <m:sSub>
          <m:e>
            <m:r>
              <m:t>r</m:t>
            </m:r>
          </m:e>
          <m:sub>
            <m:r>
              <m:t>0</m:t>
            </m:r>
          </m:sub>
        </m:sSub>
      </m:oMath>
      <w:r>
        <w:t xml:space="preserve"> </w:t>
      </w:r>
      <w:r>
        <w:t xml:space="preserve">is the root radius, and</w:t>
      </w:r>
      <w:r>
        <w:t xml:space="preserve"> </w:t>
      </w:r>
      <m:oMath>
        <m:sSub>
          <m:e>
            <m:r>
              <m:t>v</m:t>
            </m:r>
          </m:e>
          <m:sub>
            <m:r>
              <m:t>0</m:t>
            </m:r>
          </m:sub>
        </m:sSub>
      </m:oMath>
      <w:r>
        <w:t xml:space="preserve"> </w:t>
      </w:r>
      <w:r>
        <w:t xml:space="preserve">is the water flux at the root surface. The kinetic source term resupplying the solution was defined using the experimentally derived parameters:</w:t>
      </w:r>
    </w:p>
    <w:p>
      <w:pPr>
        <w:pStyle w:val="BodyText"/>
      </w:pPr>
      <m:oMathPara>
        <m:oMathParaPr>
          <m:jc m:val="center"/>
        </m:oMathParaPr>
        <m:oMath>
          <m:sSub>
            <m:e>
              <m:r>
                <m:t>R</m:t>
              </m:r>
            </m:e>
            <m:sub>
              <m:r>
                <m:t>d</m:t>
              </m:r>
              <m:r>
                <m:t>e</m:t>
              </m:r>
              <m:r>
                <m:t>s</m:t>
              </m:r>
              <m:r>
                <m:t>o</m:t>
              </m:r>
              <m:r>
                <m:t>r</m:t>
              </m:r>
              <m:r>
                <m:t>p</m:t>
              </m:r>
              <m:r>
                <m:t>t</m:t>
              </m:r>
              <m:r>
                <m:t>i</m:t>
              </m:r>
              <m:r>
                <m:t>o</m:t>
              </m:r>
              <m:r>
                <m:t>n</m:t>
              </m:r>
            </m:sub>
          </m:sSub>
          <m:r>
            <m:rPr>
              <m:sty m:val="p"/>
            </m:rPr>
            <m:t>=</m:t>
          </m:r>
          <m:r>
            <m:t>k</m:t>
          </m:r>
          <m:r>
            <m:rPr>
              <m:sty m:val="p"/>
            </m:rPr>
            <m:t>⋅</m:t>
          </m:r>
          <m:r>
            <m:rPr>
              <m:sty m:val="p"/>
            </m:rPr>
            <m:t>(</m:t>
          </m:r>
          <m:sSub>
            <m:e>
              <m:r>
                <m:t>a</m:t>
              </m:r>
            </m:e>
            <m:sub>
              <m:r>
                <m:t>m</m:t>
              </m:r>
              <m:r>
                <m:t>a</m:t>
              </m:r>
              <m:r>
                <m:t>x</m:t>
              </m:r>
            </m:sub>
          </m:sSub>
          <m:r>
            <m:rPr>
              <m:sty m:val="p"/>
            </m:rPr>
            <m:t>−</m:t>
          </m:r>
          <m:sSub>
            <m:e>
              <m:r>
                <m:t>a</m:t>
              </m:r>
            </m:e>
            <m:sub>
              <m:r>
                <m:t>l</m:t>
              </m:r>
            </m:sub>
          </m:sSub>
          <m:r>
            <m:rPr>
              <m:sty m:val="p"/>
            </m:rPr>
            <m:t>)</m:t>
          </m:r>
        </m:oMath>
      </m:oMathPara>
    </w:p>
    <w:p>
      <w:pPr>
        <w:pStyle w:val="FirstParagraph"/>
      </w:pPr>
      <w:r>
        <w:t xml:space="preserve">Furthermore, the inner boundary condition at the root surface (</w:t>
      </w:r>
      <m:oMath>
        <m:r>
          <m:t>r</m:t>
        </m:r>
        <m:r>
          <m:rPr>
            <m:sty m:val="p"/>
          </m:rPr>
          <m:t>=</m:t>
        </m:r>
        <m:sSub>
          <m:e>
            <m:r>
              <m:t>r</m:t>
            </m:r>
          </m:e>
          <m:sub>
            <m:r>
              <m:t>0</m:t>
            </m:r>
          </m:sub>
        </m:sSub>
      </m:oMath>
      <w:r>
        <w:t xml:space="preserve">) was upgraded to reflect a dual-affinity Michaelis-Menten uptake system, accounting for both high-affinity (PHT1) and low-affinity (LATS) transporter kinetics responding directly to chemical activity:</w:t>
      </w:r>
    </w:p>
    <w:p>
      <w:pPr>
        <w:pStyle w:val="BodyText"/>
      </w:pPr>
      <m:oMathPara>
        <m:oMathParaPr>
          <m:jc m:val="center"/>
        </m:oMathParaPr>
        <m:oMath>
          <m:sSub>
            <m:e>
              <m:r>
                <m:t>J</m:t>
              </m:r>
            </m:e>
            <m:sub>
              <m:r>
                <m:t>r</m:t>
              </m:r>
            </m:sub>
          </m:sSub>
          <m:r>
            <m:rPr>
              <m:sty m:val="p"/>
            </m:rPr>
            <m:t>=</m:t>
          </m:r>
          <m:f>
            <m:fPr>
              <m:type m:val="bar"/>
            </m:fPr>
            <m:num>
              <m:sSub>
                <m:e>
                  <m:r>
                    <m:t>V</m:t>
                  </m:r>
                </m:e>
                <m:sub>
                  <m:r>
                    <m:t>m</m:t>
                  </m:r>
                  <m:r>
                    <m:t>a</m:t>
                  </m:r>
                  <m:r>
                    <m:t>x</m:t>
                  </m:r>
                  <m:r>
                    <m:t>1</m:t>
                  </m:r>
                </m:sub>
              </m:sSub>
              <m:r>
                <m:rPr>
                  <m:sty m:val="p"/>
                </m:rPr>
                <m:t>⋅</m:t>
              </m:r>
              <m:r>
                <m:rPr>
                  <m:sty m:val="p"/>
                </m:rPr>
                <m:t>(</m:t>
              </m:r>
              <m:sSub>
                <m:e>
                  <m:r>
                    <m:t>a</m:t>
                  </m:r>
                </m:e>
                <m:sub>
                  <m:r>
                    <m:t>l</m:t>
                  </m:r>
                </m:sub>
              </m:sSub>
              <m:r>
                <m:rPr>
                  <m:sty m:val="p"/>
                </m:rPr>
                <m:t>−</m:t>
              </m:r>
              <m:sSub>
                <m:e>
                  <m:r>
                    <m:t>a</m:t>
                  </m:r>
                </m:e>
                <m:sub>
                  <m:r>
                    <m:t>m</m:t>
                  </m:r>
                  <m:r>
                    <m:t>i</m:t>
                  </m:r>
                  <m:r>
                    <m:t>n</m:t>
                  </m:r>
                </m:sub>
              </m:sSub>
              <m:r>
                <m:rPr>
                  <m:sty m:val="p"/>
                </m:rPr>
                <m:t>)</m:t>
              </m:r>
            </m:num>
            <m:den>
              <m:sSub>
                <m:e>
                  <m:r>
                    <m:t>K</m:t>
                  </m:r>
                </m:e>
                <m:sub>
                  <m:r>
                    <m:t>m</m:t>
                  </m:r>
                  <m:r>
                    <m:t>1</m:t>
                  </m:r>
                </m:sub>
              </m:sSub>
              <m:r>
                <m:rPr>
                  <m:sty m:val="p"/>
                </m:rPr>
                <m:t>+</m:t>
              </m:r>
              <m:r>
                <m:rPr>
                  <m:sty m:val="p"/>
                </m:rPr>
                <m:t>(</m:t>
              </m:r>
              <m:sSub>
                <m:e>
                  <m:r>
                    <m:t>a</m:t>
                  </m:r>
                </m:e>
                <m:sub>
                  <m:r>
                    <m:t>l</m:t>
                  </m:r>
                </m:sub>
              </m:sSub>
              <m:r>
                <m:rPr>
                  <m:sty m:val="p"/>
                </m:rPr>
                <m:t>−</m:t>
              </m:r>
              <m:sSub>
                <m:e>
                  <m:r>
                    <m:t>a</m:t>
                  </m:r>
                </m:e>
                <m:sub>
                  <m:r>
                    <m:t>m</m:t>
                  </m:r>
                  <m:r>
                    <m:t>i</m:t>
                  </m:r>
                  <m:r>
                    <m:t>n</m:t>
                  </m:r>
                </m:sub>
              </m:sSub>
              <m:r>
                <m:rPr>
                  <m:sty m:val="p"/>
                </m:rPr>
                <m:t>)</m:t>
              </m:r>
            </m:den>
          </m:f>
          <m:r>
            <m:rPr>
              <m:sty m:val="p"/>
            </m:rPr>
            <m:t>+</m:t>
          </m:r>
          <m:f>
            <m:fPr>
              <m:type m:val="bar"/>
            </m:fPr>
            <m:num>
              <m:sSub>
                <m:e>
                  <m:r>
                    <m:t>V</m:t>
                  </m:r>
                </m:e>
                <m:sub>
                  <m:r>
                    <m:t>m</m:t>
                  </m:r>
                  <m:r>
                    <m:t>a</m:t>
                  </m:r>
                  <m:r>
                    <m:t>x</m:t>
                  </m:r>
                  <m:r>
                    <m:t>2</m:t>
                  </m:r>
                </m:sub>
              </m:sSub>
              <m:r>
                <m:rPr>
                  <m:sty m:val="p"/>
                </m:rPr>
                <m:t>⋅</m:t>
              </m:r>
              <m:r>
                <m:rPr>
                  <m:sty m:val="p"/>
                </m:rPr>
                <m:t>(</m:t>
              </m:r>
              <m:sSub>
                <m:e>
                  <m:r>
                    <m:t>a</m:t>
                  </m:r>
                </m:e>
                <m:sub>
                  <m:r>
                    <m:t>l</m:t>
                  </m:r>
                </m:sub>
              </m:sSub>
              <m:r>
                <m:rPr>
                  <m:sty m:val="p"/>
                </m:rPr>
                <m:t>−</m:t>
              </m:r>
              <m:sSub>
                <m:e>
                  <m:r>
                    <m:t>a</m:t>
                  </m:r>
                </m:e>
                <m:sub>
                  <m:r>
                    <m:t>m</m:t>
                  </m:r>
                  <m:r>
                    <m:t>i</m:t>
                  </m:r>
                  <m:r>
                    <m:t>n</m:t>
                  </m:r>
                </m:sub>
              </m:sSub>
              <m:r>
                <m:rPr>
                  <m:sty m:val="p"/>
                </m:rPr>
                <m:t>)</m:t>
              </m:r>
            </m:num>
            <m:den>
              <m:sSub>
                <m:e>
                  <m:r>
                    <m:t>K</m:t>
                  </m:r>
                </m:e>
                <m:sub>
                  <m:r>
                    <m:t>m</m:t>
                  </m:r>
                  <m:r>
                    <m:t>2</m:t>
                  </m:r>
                </m:sub>
              </m:sSub>
              <m:r>
                <m:rPr>
                  <m:sty m:val="p"/>
                </m:rPr>
                <m:t>+</m:t>
              </m:r>
              <m:r>
                <m:rPr>
                  <m:sty m:val="p"/>
                </m:rPr>
                <m:t>(</m:t>
              </m:r>
              <m:sSub>
                <m:e>
                  <m:r>
                    <m:t>a</m:t>
                  </m:r>
                </m:e>
                <m:sub>
                  <m:r>
                    <m:t>l</m:t>
                  </m:r>
                </m:sub>
              </m:sSub>
              <m:r>
                <m:rPr>
                  <m:sty m:val="p"/>
                </m:rPr>
                <m:t>−</m:t>
              </m:r>
              <m:sSub>
                <m:e>
                  <m:r>
                    <m:t>a</m:t>
                  </m:r>
                </m:e>
                <m:sub>
                  <m:r>
                    <m:t>m</m:t>
                  </m:r>
                  <m:r>
                    <m:t>i</m:t>
                  </m:r>
                  <m:r>
                    <m:t>n</m:t>
                  </m:r>
                </m:sub>
              </m:sSub>
              <m:r>
                <m:rPr>
                  <m:sty m:val="p"/>
                </m:rPr>
                <m:t>)</m:t>
              </m:r>
            </m:den>
          </m:f>
        </m:oMath>
      </m:oMathPara>
    </w:p>
    <w:p>
      <w:pPr>
        <w:pStyle w:val="FirstParagraph"/>
      </w:pPr>
      <w:r>
        <w:t xml:space="preserve">The modified PDEs were solved numerically in R utilizing the</w:t>
      </w:r>
      <w:r>
        <w:t xml:space="preserve"> </w:t>
      </w:r>
      <w:r>
        <w:rPr>
          <w:rStyle w:val="VerbatimChar"/>
        </w:rPr>
        <w:t xml:space="preserve">ReacTran</w:t>
      </w:r>
      <w:r>
        <w:t xml:space="preserve"> </w:t>
      </w:r>
      <w:r>
        <w:t xml:space="preserve">and</w:t>
      </w:r>
      <w:r>
        <w:t xml:space="preserve"> </w:t>
      </w:r>
      <w:r>
        <w:rPr>
          <w:rStyle w:val="VerbatimChar"/>
        </w:rPr>
        <w:t xml:space="preserve">deSolve</w:t>
      </w:r>
      <w:r>
        <w:t xml:space="preserve"> </w:t>
      </w:r>
      <w:r>
        <w:t xml:space="preserve">packages to generate dynamic spatial profiles of the P-depletion zone over time.</w:t>
      </w:r>
    </w:p>
    <w:bookmarkStart w:id="30" w:name="refs"/>
    <w:bookmarkStart w:id="21" w:name="ref-R-lme4"/>
    <w:p>
      <w:pPr>
        <w:pStyle w:val="Bibliography"/>
      </w:pPr>
      <w:r>
        <w:t xml:space="preserve">Bates, D., Mächler, M., Bolker, B., &amp; Walker, S. (2015). Fitting linear mixed-effects models using</w:t>
      </w:r>
      <w:r>
        <w:t xml:space="preserve"> </w:t>
      </w:r>
      <w:r>
        <w:t xml:space="preserve">lme4</w:t>
      </w:r>
      <w:r>
        <w:t xml:space="preserve">.</w:t>
      </w:r>
      <w:r>
        <w:t xml:space="preserve"> </w:t>
      </w:r>
      <w:r>
        <w:rPr>
          <w:i/>
          <w:iCs/>
        </w:rPr>
        <w:t xml:space="preserve">Journal of Statistical Software</w:t>
      </w:r>
      <w:r>
        <w:t xml:space="preserve">,</w:t>
      </w:r>
      <w:r>
        <w:t xml:space="preserve"> </w:t>
      </w:r>
      <w:r>
        <w:rPr>
          <w:i/>
          <w:iCs/>
        </w:rPr>
        <w:t xml:space="preserve">67</w:t>
      </w:r>
      <w:r>
        <w:t xml:space="preserve">(1), 1–48.</w:t>
      </w:r>
      <w:r>
        <w:t xml:space="preserve"> </w:t>
      </w:r>
      <w:hyperlink r:id="rId20">
        <w:r>
          <w:rPr>
            <w:rStyle w:val="Hyperlink"/>
          </w:rPr>
          <w:t xml:space="preserve">https://doi.org/10.18637/jss.v067.i01</w:t>
        </w:r>
      </w:hyperlink>
    </w:p>
    <w:bookmarkEnd w:id="21"/>
    <w:bookmarkStart w:id="22" w:name="X8e448a35b024827f6325a509cd0871d88df6696"/>
    <w:p>
      <w:pPr>
        <w:pStyle w:val="Bibliography"/>
      </w:pPr>
      <w:r>
        <w:t xml:space="preserve">Flossmann, R., &amp; Richter, D. (1982).</w:t>
      </w:r>
      <w:r>
        <w:t xml:space="preserve"> </w:t>
      </w:r>
      <w:r>
        <w:rPr>
          <w:i/>
          <w:iCs/>
        </w:rPr>
        <w:t xml:space="preserve">Extraction method for characterizing the kinetics of phosphorus release from solid soil to soil solution.</w:t>
      </w:r>
    </w:p>
    <w:bookmarkEnd w:id="22"/>
    <w:bookmarkStart w:id="24" w:name="ref-hirteYieldResponseSoil2021"/>
    <w:p>
      <w:pPr>
        <w:pStyle w:val="Bibliography"/>
      </w:pPr>
      <w:r>
        <w:t xml:space="preserve">Hirte, J., Richner, W., Orth, B., Liebisch, F., &amp; Flisch, R. (2021). Yield response to soil test phosphorus in</w:t>
      </w:r>
      <w:r>
        <w:t xml:space="preserve"> </w:t>
      </w:r>
      <w:r>
        <w:t xml:space="preserve">Switzerland</w:t>
      </w:r>
      <w:r>
        <w:t xml:space="preserve">:</w:t>
      </w:r>
      <w:r>
        <w:t xml:space="preserve"> </w:t>
      </w:r>
      <w:r>
        <w:t xml:space="preserve">Pedoclimatic</w:t>
      </w:r>
      <w:r>
        <w:t xml:space="preserve"> </w:t>
      </w:r>
      <w:r>
        <w:t xml:space="preserve">drivers of critical concentrations for optimal crop yields using multilevel modelling.</w:t>
      </w:r>
      <w:r>
        <w:t xml:space="preserve"> </w:t>
      </w:r>
      <w:r>
        <w:rPr>
          <w:i/>
          <w:iCs/>
        </w:rPr>
        <w:t xml:space="preserve">Science of The Total Environment</w:t>
      </w:r>
      <w:r>
        <w:t xml:space="preserve">,</w:t>
      </w:r>
      <w:r>
        <w:t xml:space="preserve"> </w:t>
      </w:r>
      <w:r>
        <w:rPr>
          <w:i/>
          <w:iCs/>
        </w:rPr>
        <w:t xml:space="preserve">755</w:t>
      </w:r>
      <w:r>
        <w:t xml:space="preserve">, 143453.</w:t>
      </w:r>
      <w:r>
        <w:t xml:space="preserve"> </w:t>
      </w:r>
      <w:hyperlink r:id="rId23">
        <w:r>
          <w:rPr>
            <w:rStyle w:val="Hyperlink"/>
          </w:rPr>
          <w:t xml:space="preserve">https://doi.org/10.1016/j.scitotenv.2020.143453</w:t>
        </w:r>
      </w:hyperlink>
    </w:p>
    <w:bookmarkEnd w:id="24"/>
    <w:bookmarkStart w:id="26" w:name="ref-R-nlme"/>
    <w:p>
      <w:pPr>
        <w:pStyle w:val="Bibliography"/>
      </w:pPr>
      <w:r>
        <w:t xml:space="preserve">Pinheiro, J., Bates, D., DebRoy, S., Sarkar, D., &amp; R Core Team. (2022).</w:t>
      </w:r>
      <w:r>
        <w:t xml:space="preserve"> </w:t>
      </w:r>
      <w:r>
        <w:rPr>
          <w:i/>
          <w:iCs/>
        </w:rPr>
        <w:t xml:space="preserve">Nlme: Linear and nonlinear mixed effects models</w:t>
      </w:r>
      <w:r>
        <w:t xml:space="preserve">.</w:t>
      </w:r>
      <w:r>
        <w:t xml:space="preserve"> </w:t>
      </w:r>
      <w:hyperlink r:id="rId25">
        <w:r>
          <w:rPr>
            <w:rStyle w:val="Hyperlink"/>
          </w:rPr>
          <w:t xml:space="preserve">https://CRAN.R-project.org/package=nlme</w:t>
        </w:r>
      </w:hyperlink>
    </w:p>
    <w:bookmarkEnd w:id="26"/>
    <w:bookmarkStart w:id="28" w:name="ref-R-base"/>
    <w:p>
      <w:pPr>
        <w:pStyle w:val="Bibliography"/>
      </w:pPr>
      <w:r>
        <w:t xml:space="preserve">R Core Team. (2022).</w:t>
      </w:r>
      <w:r>
        <w:t xml:space="preserve"> </w:t>
      </w:r>
      <w:r>
        <w:rPr>
          <w:i/>
          <w:iCs/>
        </w:rPr>
        <w:t xml:space="preserve">R: A language and environment for statistical computing</w:t>
      </w:r>
      <w:r>
        <w:t xml:space="preserve">. R Foundation for Statistical Computing.</w:t>
      </w:r>
      <w:r>
        <w:t xml:space="preserve"> </w:t>
      </w:r>
      <w:hyperlink r:id="rId27">
        <w:r>
          <w:rPr>
            <w:rStyle w:val="Hyperlink"/>
          </w:rPr>
          <w:t xml:space="preserve">https://www.R-project.org/</w:t>
        </w:r>
      </w:hyperlink>
    </w:p>
    <w:bookmarkEnd w:id="28"/>
    <w:bookmarkStart w:id="29" w:name="ref-VanVeldhoven1987Malachite"/>
    <w:p>
      <w:pPr>
        <w:pStyle w:val="Bibliography"/>
      </w:pPr>
      <w:r>
        <w:t xml:space="preserve">Van Veldhoven, P. P., &amp; Mannaerts, G. P. (1987). Inorganic and organic phosphorus in the scheldt estuary.</w:t>
      </w:r>
      <w:r>
        <w:t xml:space="preserve"> </w:t>
      </w:r>
      <w:r>
        <w:rPr>
          <w:i/>
          <w:iCs/>
        </w:rPr>
        <w:t xml:space="preserve">Estuarine, Coastal and Shelf Science</w:t>
      </w:r>
      <w:r>
        <w:t xml:space="preserve">,</w:t>
      </w:r>
      <w:r>
        <w:t xml:space="preserve"> </w:t>
      </w:r>
      <w:r>
        <w:rPr>
          <w:i/>
          <w:iCs/>
        </w:rPr>
        <w:t xml:space="preserve">25</w:t>
      </w:r>
      <w:r>
        <w:t xml:space="preserve">(6), 755–765.</w:t>
      </w:r>
    </w:p>
    <w:bookmarkEnd w:id="29"/>
    <w:bookmarkEnd w:id="30"/>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CRAN.R-project.org/package=nlme" TargetMode="External" /><Relationship Type="http://schemas.openxmlformats.org/officeDocument/2006/relationships/hyperlink" Id="rId23" Target="https://doi.org/10.1016/j.scitotenv.2020.143453" TargetMode="External" /><Relationship Type="http://schemas.openxmlformats.org/officeDocument/2006/relationships/hyperlink" Id="rId20" Target="https://doi.org/10.18637/jss.v067.i01" TargetMode="External" /><Relationship Type="http://schemas.openxmlformats.org/officeDocument/2006/relationships/hyperlink" Id="rId27"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25" Target="https://CRAN.R-project.org/package=nlme" TargetMode="External" /><Relationship Type="http://schemas.openxmlformats.org/officeDocument/2006/relationships/hyperlink" Id="rId23" Target="https://doi.org/10.1016/j.scitotenv.2020.143453" TargetMode="External" /><Relationship Type="http://schemas.openxmlformats.org/officeDocument/2006/relationships/hyperlink" Id="rId20" Target="https://doi.org/10.18637/jss.v067.i01" TargetMode="External" /><Relationship Type="http://schemas.openxmlformats.org/officeDocument/2006/relationships/hyperlink" Id="rId27"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2026-04-10T11:01:16Z</dcterms:created>
  <dcterms:modified xsi:type="dcterms:W3CDTF">2026-04-10T11:01:16Z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../apa.csl</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