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0.png" ContentType="image/png"/>
  <Override PartName="/word/media/rId24.png" ContentType="image/png"/>
  <Override PartName="/word/media/rId9.png" ContentType="image/png"/>
  <Override PartName="/word/media/rId14.png" ContentType="image/png"/>
  <Override PartName="/word/media/rId35.png" ContentType="image/png"/>
  <Override PartName="/word/media/rId4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results"/>
    <w:p>
      <w:pPr>
        <w:pStyle w:val="Heading1"/>
      </w:pPr>
      <w:r>
        <w:t xml:space="preserve">1. Results</w:t>
      </w:r>
    </w:p>
    <w:p>
      <w:pPr>
        <w:pStyle w:val="SourceCode"/>
      </w:pPr>
      <w:r>
        <w:rPr>
          <w:rStyle w:val="NormalTok"/>
        </w:rPr>
        <w:t xml:space="preserve">create_coef_table </w:t>
      </w:r>
      <w:r>
        <w:rPr>
          <w:rStyle w:val="OtherTok"/>
        </w:rPr>
        <w:t xml:space="preserve">&lt;-</w:t>
      </w:r>
      <w:r>
        <w:rPr>
          <w:rStyle w:val="NormalTok"/>
        </w:rPr>
        <w:t xml:space="preserve"> </w:t>
      </w:r>
      <w:r>
        <w:rPr>
          <w:rStyle w:val="ControlFlowTok"/>
        </w:rPr>
        <w:t xml:space="preserve">function</w:t>
      </w:r>
      <w:r>
        <w:rPr>
          <w:rStyle w:val="NormalTok"/>
        </w:rPr>
        <w:t xml:space="preserve">(lmer_models, </w:t>
      </w:r>
      <w:r>
        <w:br/>
      </w:r>
      <w:r>
        <w:rPr>
          <w:rStyle w:val="NormalTok"/>
        </w:rPr>
        <w:t xml:space="preserve">                              </w:t>
      </w:r>
      <w:r>
        <w:rPr>
          <w:rStyle w:val="AttributeTok"/>
        </w:rPr>
        <w:t xml:space="preserve">covariate_order =</w:t>
      </w:r>
      <w:r>
        <w:rPr>
          <w:rStyle w:val="NormalTok"/>
        </w:rPr>
        <w:t xml:space="preserve"> </w:t>
      </w:r>
      <w:r>
        <w:rPr>
          <w:rStyle w:val="ConstantTok"/>
        </w:rPr>
        <w:t xml:space="preserve">NULL</w:t>
      </w:r>
      <w:r>
        <w:rPr>
          <w:rStyle w:val="NormalTok"/>
        </w:rPr>
        <w:t xml:space="preserve">, </w:t>
      </w:r>
      <w:r>
        <w:br/>
      </w:r>
      <w:r>
        <w:rPr>
          <w:rStyle w:val="NormalTok"/>
        </w:rPr>
        <w:t xml:space="preserve">                              </w:t>
      </w:r>
      <w:r>
        <w:rPr>
          <w:rStyle w:val="AttributeTok"/>
        </w:rPr>
        <w:t xml:space="preserve">covariate_labels =</w:t>
      </w:r>
      <w:r>
        <w:rPr>
          <w:rStyle w:val="NormalTok"/>
        </w:rPr>
        <w:t xml:space="preserve"> </w:t>
      </w:r>
      <w:r>
        <w:rPr>
          <w:rStyle w:val="ConstantTok"/>
        </w:rPr>
        <w:t xml:space="preserve">NULL</w:t>
      </w:r>
      <w:r>
        <w:rPr>
          <w:rStyle w:val="NormalTok"/>
        </w:rPr>
        <w:t xml:space="preserve">, </w:t>
      </w:r>
      <w:r>
        <w:rPr>
          <w:rStyle w:val="CommentTok"/>
        </w:rPr>
        <w:t xml:space="preserve"># NEU: Benannter Vektor für Zeilennamen</w:t>
      </w:r>
      <w:r>
        <w:br/>
      </w:r>
      <w:r>
        <w:rPr>
          <w:rStyle w:val="NormalTok"/>
        </w:rPr>
        <w:t xml:space="preserve">                              </w:t>
      </w:r>
      <w:r>
        <w:rPr>
          <w:rStyle w:val="AttributeTok"/>
        </w:rPr>
        <w:t xml:space="preserve">model_labels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descriptor =</w:t>
      </w:r>
      <w:r>
        <w:rPr>
          <w:rStyle w:val="NormalTok"/>
        </w:rPr>
        <w:t xml:space="preserve"> </w:t>
      </w:r>
      <w:r>
        <w:rPr>
          <w:rStyle w:val="StringTok"/>
        </w:rPr>
        <w:t xml:space="preserve">"Response"</w:t>
      </w:r>
      <w:r>
        <w:rPr>
          <w:rStyle w:val="NormalTok"/>
        </w:rPr>
        <w:t xml:space="preserve">) {   </w:t>
      </w:r>
      <w:r>
        <w:rPr>
          <w:rStyle w:val="CommentTok"/>
        </w:rPr>
        <w:t xml:space="preserve"># NEU: Benannter Vektor für Spaltennamen</w:t>
      </w:r>
      <w:r>
        <w:br/>
      </w:r>
      <w:r>
        <w:br/>
      </w:r>
      <w:r>
        <w:rPr>
          <w:rStyle w:val="NormalTok"/>
        </w:rPr>
        <w:t xml:space="preserve">  </w:t>
      </w:r>
      <w:r>
        <w:rPr>
          <w:rStyle w:val="CommentTok"/>
        </w:rPr>
        <w:t xml:space="preserve"># Extract coefficients and p-values (Ihre Originalfunktion, keine Änderung hier)</w:t>
      </w:r>
      <w:r>
        <w:br/>
      </w:r>
      <w:r>
        <w:rPr>
          <w:rStyle w:val="NormalTok"/>
        </w:rPr>
        <w:t xml:space="preserve">  extract_coef_info </w:t>
      </w:r>
      <w:r>
        <w:rPr>
          <w:rStyle w:val="OtherTok"/>
        </w:rPr>
        <w:t xml:space="preserve">&lt;-</w:t>
      </w:r>
      <w:r>
        <w:rPr>
          <w:rStyle w:val="NormalTok"/>
        </w:rPr>
        <w:t xml:space="preserve"> </w:t>
      </w:r>
      <w:r>
        <w:rPr>
          <w:rStyle w:val="ControlFlowTok"/>
        </w:rPr>
        <w:t xml:space="preserve">function</w:t>
      </w:r>
      <w:r>
        <w:rPr>
          <w:rStyle w:val="NormalTok"/>
        </w:rPr>
        <w:t xml:space="preserve">(model) {</w:t>
      </w:r>
      <w:r>
        <w:br/>
      </w:r>
      <w:r>
        <w:rPr>
          <w:rStyle w:val="NormalTok"/>
        </w:rPr>
        <w:t xml:space="preserve">    </w:t>
      </w:r>
      <w:r>
        <w:rPr>
          <w:rStyle w:val="CommentTok"/>
        </w:rPr>
        <w:t xml:space="preserve"># ... (keine Änderung, Ihr Code bleibt hier)</w:t>
      </w:r>
      <w:r>
        <w:br/>
      </w:r>
      <w:r>
        <w:rPr>
          <w:rStyle w:val="NormalTok"/>
        </w:rPr>
        <w:t xml:space="preserve">    coef_matrix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|&gt;</w:t>
      </w:r>
      <w:r>
        <w:rPr>
          <w:rStyle w:val="NormalTok"/>
        </w:rPr>
        <w:t xml:space="preserve"> </w:t>
      </w:r>
      <w:r>
        <w:rPr>
          <w:rStyle w:val="FunctionTok"/>
        </w:rPr>
        <w:t xml:space="preserve">coef</w:t>
      </w:r>
      <w:r>
        <w:rPr>
          <w:rStyle w:val="NormalTok"/>
        </w:rPr>
        <w:t xml:space="preserve">()</w:t>
      </w:r>
      <w:r>
        <w:br/>
      </w:r>
      <w:r>
        <w:rPr>
          <w:rStyle w:val="NormalTok"/>
        </w:rPr>
        <w:t xml:space="preserve">    estimates </w:t>
      </w:r>
      <w:r>
        <w:rPr>
          <w:rStyle w:val="OtherTok"/>
        </w:rPr>
        <w:t xml:space="preserve">&lt;-</w:t>
      </w:r>
      <w:r>
        <w:rPr>
          <w:rStyle w:val="NormalTok"/>
        </w:rPr>
        <w:t xml:space="preserve"> coef_matrix[, </w:t>
      </w:r>
      <w:r>
        <w:rPr>
          <w:rStyle w:val="DecValTok"/>
        </w:rPr>
        <w:t xml:space="preserve">1</w:t>
      </w:r>
      <w:r>
        <w:rPr>
          <w:rStyle w:val="NormalTok"/>
        </w:rPr>
        <w:t xml:space="preserve">]</w:t>
      </w:r>
      <w:r>
        <w:br/>
      </w:r>
      <w:r>
        <w:rPr>
          <w:rStyle w:val="NormalTok"/>
        </w:rPr>
        <w:t xml:space="preserve">    p_values </w:t>
      </w:r>
      <w:r>
        <w:rPr>
          <w:rStyle w:val="OtherTok"/>
        </w:rPr>
        <w:t xml:space="preserve">&lt;-</w:t>
      </w:r>
      <w:r>
        <w:rPr>
          <w:rStyle w:val="NormalTok"/>
        </w:rPr>
        <w:t xml:space="preserve"> coef_matrix[, </w:t>
      </w:r>
      <w:r>
        <w:rPr>
          <w:rStyle w:val="FunctionTok"/>
        </w:rPr>
        <w:t xml:space="preserve">ncol</w:t>
      </w:r>
      <w:r>
        <w:rPr>
          <w:rStyle w:val="NormalTok"/>
        </w:rPr>
        <w:t xml:space="preserve">(coef_matrix)]</w:t>
      </w:r>
      <w:r>
        <w:br/>
      </w:r>
      <w:r>
        <w:rPr>
          <w:rStyle w:val="NormalTok"/>
        </w:rPr>
        <w:t xml:space="preserve">    formatted_coef </w:t>
      </w:r>
      <w:r>
        <w:rPr>
          <w:rStyle w:val="OtherTok"/>
        </w:rPr>
        <w:t xml:space="preserve">&lt;-</w:t>
      </w:r>
      <w:r>
        <w:rPr>
          <w:rStyle w:val="NormalTok"/>
        </w:rPr>
        <w:t xml:space="preserve"> </w:t>
      </w:r>
      <w:r>
        <w:rPr>
          <w:rStyle w:val="FunctionTok"/>
        </w:rPr>
        <w:t xml:space="preserve">sapply</w:t>
      </w:r>
      <w:r>
        <w:rPr>
          <w:rStyle w:val="NormalTok"/>
        </w:rPr>
        <w:t xml:space="preserve">(</w:t>
      </w:r>
      <w:r>
        <w:rPr>
          <w:rStyle w:val="FunctionTok"/>
        </w:rPr>
        <w:t xml:space="preserve">seq_along</w:t>
      </w:r>
      <w:r>
        <w:rPr>
          <w:rStyle w:val="NormalTok"/>
        </w:rPr>
        <w:t xml:space="preserve">(estimates), </w:t>
      </w:r>
      <w:r>
        <w:rPr>
          <w:rStyle w:val="ControlFlowTok"/>
        </w:rPr>
        <w:t xml:space="preserve">function</w:t>
      </w:r>
      <w:r>
        <w:rPr>
          <w:rStyle w:val="NormalTok"/>
        </w:rPr>
        <w:t xml:space="preserve">(i) {</w:t>
      </w:r>
      <w:r>
        <w:br/>
      </w:r>
      <w:r>
        <w:rPr>
          <w:rStyle w:val="NormalTok"/>
        </w:rPr>
        <w:t xml:space="preserve">      est_str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estimates[i])</w:t>
      </w:r>
      <w:r>
        <w:br/>
      </w:r>
      <w:r>
        <w:rPr>
          <w:rStyle w:val="NormalTok"/>
        </w:rPr>
        <w:t xml:space="preserve">      stars </w:t>
      </w:r>
      <w:r>
        <w:rPr>
          <w:rStyle w:val="OtherTok"/>
        </w:rPr>
        <w:t xml:space="preserve">&lt;-</w:t>
      </w:r>
      <w:r>
        <w:rPr>
          <w:rStyle w:val="NormalTok"/>
        </w:rPr>
        <w:t xml:space="preserve"> </w:t>
      </w:r>
      <w:r>
        <w:rPr>
          <w:rStyle w:val="ControlFlowTok"/>
        </w:rPr>
        <w:t xml:space="preserve">if</w:t>
      </w:r>
      <w:r>
        <w:rPr>
          <w:rStyle w:val="NormalTok"/>
        </w:rPr>
        <w:t xml:space="preserve"> (p_values[i]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w:t>
      </w:r>
      <w:r>
        <w:rPr>
          <w:rStyle w:val="NormalTok"/>
        </w:rPr>
        <w:t xml:space="preserve"> </w:t>
      </w:r>
      <w:r>
        <w:rPr>
          <w:rStyle w:val="ControlFlowTok"/>
        </w:rPr>
        <w:t xml:space="preserve">else</w:t>
      </w:r>
      <w:r>
        <w:br/>
      </w:r>
      <w:r>
        <w:rPr>
          <w:rStyle w:val="NormalTok"/>
        </w:rPr>
        <w:t xml:space="preserve">               </w:t>
      </w:r>
      <w:r>
        <w:rPr>
          <w:rStyle w:val="ControlFlowTok"/>
        </w:rPr>
        <w:t xml:space="preserve">if</w:t>
      </w:r>
      <w:r>
        <w:rPr>
          <w:rStyle w:val="NormalTok"/>
        </w:rPr>
        <w:t xml:space="preserve"> (p_values[i] </w:t>
      </w:r>
      <w:r>
        <w:rPr>
          <w:rStyle w:val="SpecialCharTok"/>
        </w:rPr>
        <w:t xml:space="preserve">&lt;</w:t>
      </w:r>
      <w:r>
        <w:rPr>
          <w:rStyle w:val="NormalTok"/>
        </w:rPr>
        <w:t xml:space="preserve"> </w:t>
      </w:r>
      <w:r>
        <w:rPr>
          <w:rStyle w:val="FloatTok"/>
        </w:rPr>
        <w:t xml:space="preserve">0.01</w:t>
      </w:r>
      <w:r>
        <w:rPr>
          <w:rStyle w:val="NormalTok"/>
        </w:rPr>
        <w:t xml:space="preserve">) </w:t>
      </w:r>
      <w:r>
        <w:rPr>
          <w:rStyle w:val="StringTok"/>
        </w:rPr>
        <w:t xml:space="preserve">"** "</w:t>
      </w:r>
      <w:r>
        <w:rPr>
          <w:rStyle w:val="NormalTok"/>
        </w:rPr>
        <w:t xml:space="preserve"> </w:t>
      </w:r>
      <w:r>
        <w:rPr>
          <w:rStyle w:val="ControlFlowTok"/>
        </w:rPr>
        <w:t xml:space="preserve">else</w:t>
      </w:r>
      <w:r>
        <w:br/>
      </w:r>
      <w:r>
        <w:rPr>
          <w:rStyle w:val="NormalTok"/>
        </w:rPr>
        <w:t xml:space="preserve">               </w:t>
      </w:r>
      <w:r>
        <w:rPr>
          <w:rStyle w:val="ControlFlowTok"/>
        </w:rPr>
        <w:t xml:space="preserve">if</w:t>
      </w:r>
      <w:r>
        <w:rPr>
          <w:rStyle w:val="NormalTok"/>
        </w:rPr>
        <w:t xml:space="preserve"> (p_values[i]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 "</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FunctionTok"/>
        </w:rPr>
        <w:t xml:space="preserve">paste0</w:t>
      </w:r>
      <w:r>
        <w:rPr>
          <w:rStyle w:val="NormalTok"/>
        </w:rPr>
        <w:t xml:space="preserve">(est_str,stars)</w:t>
      </w:r>
      <w:r>
        <w:br/>
      </w:r>
      <w:r>
        <w:rPr>
          <w:rStyle w:val="NormalTok"/>
        </w:rPr>
        <w:t xml:space="preserve">    })</w:t>
      </w:r>
      <w:r>
        <w:br/>
      </w:r>
      <w:r>
        <w:rPr>
          <w:rStyle w:val="NormalTok"/>
        </w:rPr>
        <w:t xml:space="preserve">    </w:t>
      </w:r>
      <w:r>
        <w:rPr>
          <w:rStyle w:val="FunctionTok"/>
        </w:rPr>
        <w:t xml:space="preserve">names</w:t>
      </w:r>
      <w:r>
        <w:rPr>
          <w:rStyle w:val="NormalTok"/>
        </w:rPr>
        <w:t xml:space="preserve">(formatted_coef) </w:t>
      </w:r>
      <w:r>
        <w:rPr>
          <w:rStyle w:val="OtherTok"/>
        </w:rPr>
        <w:t xml:space="preserve">&lt;-</w:t>
      </w:r>
      <w:r>
        <w:rPr>
          <w:rStyle w:val="NormalTok"/>
        </w:rPr>
        <w:t xml:space="preserve"> </w:t>
      </w:r>
      <w:r>
        <w:rPr>
          <w:rStyle w:val="FunctionTok"/>
        </w:rPr>
        <w:t xml:space="preserve">rownames</w:t>
      </w:r>
      <w:r>
        <w:rPr>
          <w:rStyle w:val="NormalTok"/>
        </w:rPr>
        <w:t xml:space="preserve">(coef_matrix)</w:t>
      </w:r>
      <w:r>
        <w:br/>
      </w:r>
      <w:r>
        <w:rPr>
          <w:rStyle w:val="NormalTok"/>
        </w:rPr>
        <w:t xml:space="preserve">    </w:t>
      </w:r>
      <w:r>
        <w:rPr>
          <w:rStyle w:val="FunctionTok"/>
        </w:rPr>
        <w:t xml:space="preserve">return</w:t>
      </w:r>
      <w:r>
        <w:rPr>
          <w:rStyle w:val="NormalTok"/>
        </w:rPr>
        <w:t xml:space="preserve">(formatted_coef)</w:t>
      </w:r>
      <w:r>
        <w:br/>
      </w:r>
      <w:r>
        <w:rPr>
          <w:rStyle w:val="NormalTok"/>
        </w:rPr>
        <w:t xml:space="preserve">  }</w:t>
      </w:r>
      <w:r>
        <w:br/>
      </w:r>
      <w:r>
        <w:br/>
      </w:r>
      <w:r>
        <w:rPr>
          <w:rStyle w:val="NormalTok"/>
        </w:rPr>
        <w:t xml:space="preserve">  </w:t>
      </w:r>
      <w:r>
        <w:rPr>
          <w:rStyle w:val="CommentTok"/>
        </w:rPr>
        <w:t xml:space="preserve"># Extract R-squared values (Ihre Originalfunktion, keine Änderung hier)</w:t>
      </w:r>
      <w:r>
        <w:br/>
      </w:r>
      <w:r>
        <w:rPr>
          <w:rStyle w:val="NormalTok"/>
        </w:rPr>
        <w:t xml:space="preserve">  extract_r_squared </w:t>
      </w:r>
      <w:r>
        <w:rPr>
          <w:rStyle w:val="OtherTok"/>
        </w:rPr>
        <w:t xml:space="preserve">&lt;-</w:t>
      </w:r>
      <w:r>
        <w:rPr>
          <w:rStyle w:val="NormalTok"/>
        </w:rPr>
        <w:t xml:space="preserve"> </w:t>
      </w:r>
      <w:r>
        <w:rPr>
          <w:rStyle w:val="ControlFlowTok"/>
        </w:rPr>
        <w:t xml:space="preserve">function</w:t>
      </w:r>
      <w:r>
        <w:rPr>
          <w:rStyle w:val="NormalTok"/>
        </w:rPr>
        <w:t xml:space="preserve">(model) {</w:t>
      </w:r>
      <w:r>
        <w:br/>
      </w:r>
      <w:r>
        <w:rPr>
          <w:rStyle w:val="NormalTok"/>
        </w:rPr>
        <w:t xml:space="preserve">    </w:t>
      </w:r>
      <w:r>
        <w:rPr>
          <w:rStyle w:val="CommentTok"/>
        </w:rPr>
        <w:t xml:space="preserve"># ... (keine Änderung, Ihr Code bleibt hier)</w:t>
      </w:r>
      <w:r>
        <w:br/>
      </w:r>
      <w:r>
        <w:rPr>
          <w:rStyle w:val="NormalTok"/>
        </w:rPr>
        <w:t xml:space="preserve">    r2_values </w:t>
      </w:r>
      <w:r>
        <w:rPr>
          <w:rStyle w:val="OtherTok"/>
        </w:rPr>
        <w:t xml:space="preserve">&lt;-</w:t>
      </w:r>
      <w:r>
        <w:rPr>
          <w:rStyle w:val="NormalTok"/>
        </w:rPr>
        <w:t xml:space="preserve"> MuMIn</w:t>
      </w:r>
      <w:r>
        <w:rPr>
          <w:rStyle w:val="SpecialCharTok"/>
        </w:rPr>
        <w:t xml:space="preserve">::</w:t>
      </w:r>
      <w:r>
        <w:rPr>
          <w:rStyle w:val="FunctionTok"/>
        </w:rPr>
        <w:t xml:space="preserve">r.squaredGLMM</w:t>
      </w:r>
      <w:r>
        <w:rPr>
          <w:rStyle w:val="NormalTok"/>
        </w:rPr>
        <w:t xml:space="preserve">(model) </w:t>
      </w:r>
      <w:r>
        <w:rPr>
          <w:rStyle w:val="CommentTok"/>
        </w:rPr>
        <w:t xml:space="preserve"># MuMIn:: hinzugefügt für Klarheit</w:t>
      </w:r>
      <w:r>
        <w:br/>
      </w:r>
      <w:r>
        <w:rPr>
          <w:rStyle w:val="NormalTok"/>
        </w:rPr>
        <w:t xml:space="preserve">    </w:t>
      </w:r>
      <w:r>
        <w:rPr>
          <w:rStyle w:val="FunctionTok"/>
        </w:rPr>
        <w:t xml:space="preserve">return</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AttributeTok"/>
        </w:rPr>
        <w:t xml:space="preserve">R2m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r2_values[</w:t>
      </w:r>
      <w:r>
        <w:rPr>
          <w:rStyle w:val="DecValTok"/>
        </w:rPr>
        <w:t xml:space="preserve">1</w:t>
      </w:r>
      <w:r>
        <w:rPr>
          <w:rStyle w:val="NormalTok"/>
        </w:rPr>
        <w:t xml:space="preserve">, </w:t>
      </w:r>
      <w:r>
        <w:rPr>
          <w:rStyle w:val="StringTok"/>
        </w:rPr>
        <w:t xml:space="preserve">"R2m"</w:t>
      </w:r>
      <w:r>
        <w:rPr>
          <w:rStyle w:val="NormalTok"/>
        </w:rPr>
        <w:t xml:space="preserve">]),</w:t>
      </w:r>
      <w:r>
        <w:br/>
      </w:r>
      <w:r>
        <w:rPr>
          <w:rStyle w:val="NormalTok"/>
        </w:rPr>
        <w:t xml:space="preserve">      </w:t>
      </w:r>
      <w:r>
        <w:rPr>
          <w:rStyle w:val="AttributeTok"/>
        </w:rPr>
        <w:t xml:space="preserve">R2c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r2_values[</w:t>
      </w:r>
      <w:r>
        <w:rPr>
          <w:rStyle w:val="DecValTok"/>
        </w:rPr>
        <w:t xml:space="preserve">1</w:t>
      </w:r>
      <w:r>
        <w:rPr>
          <w:rStyle w:val="NormalTok"/>
        </w:rPr>
        <w:t xml:space="preserve">, </w:t>
      </w:r>
      <w:r>
        <w:rPr>
          <w:rStyle w:val="StringTok"/>
        </w:rPr>
        <w:t xml:space="preserve">"R2c"</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Daten extrahieren (Ihr Originalcode)</w:t>
      </w:r>
      <w:r>
        <w:br/>
      </w:r>
      <w:r>
        <w:rPr>
          <w:rStyle w:val="NormalTok"/>
        </w:rPr>
        <w:t xml:space="preserve">  all_coefs </w:t>
      </w:r>
      <w:r>
        <w:rPr>
          <w:rStyle w:val="OtherTok"/>
        </w:rPr>
        <w:t xml:space="preserve">&lt;-</w:t>
      </w:r>
      <w:r>
        <w:rPr>
          <w:rStyle w:val="NormalTok"/>
        </w:rPr>
        <w:t xml:space="preserve"> </w:t>
      </w:r>
      <w:r>
        <w:rPr>
          <w:rStyle w:val="FunctionTok"/>
        </w:rPr>
        <w:t xml:space="preserve">lapply</w:t>
      </w:r>
      <w:r>
        <w:rPr>
          <w:rStyle w:val="NormalTok"/>
        </w:rPr>
        <w:t xml:space="preserve">(lmer_models, extract_coef_info)</w:t>
      </w:r>
      <w:r>
        <w:br/>
      </w:r>
      <w:r>
        <w:rPr>
          <w:rStyle w:val="NormalTok"/>
        </w:rPr>
        <w:t xml:space="preserve">  all_r_squared </w:t>
      </w:r>
      <w:r>
        <w:rPr>
          <w:rStyle w:val="OtherTok"/>
        </w:rPr>
        <w:t xml:space="preserve">&lt;-</w:t>
      </w:r>
      <w:r>
        <w:rPr>
          <w:rStyle w:val="NormalTok"/>
        </w:rPr>
        <w:t xml:space="preserve"> </w:t>
      </w:r>
      <w:r>
        <w:rPr>
          <w:rStyle w:val="FunctionTok"/>
        </w:rPr>
        <w:t xml:space="preserve">lapply</w:t>
      </w:r>
      <w:r>
        <w:rPr>
          <w:rStyle w:val="NormalTok"/>
        </w:rPr>
        <w:t xml:space="preserve">(lmer_models, extract_r_squared)</w:t>
      </w:r>
      <w:r>
        <w:br/>
      </w:r>
      <w:r>
        <w:rPr>
          <w:rStyle w:val="NormalTok"/>
        </w:rPr>
        <w:t xml:space="preserve">  all_covariate_names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unlist</w:t>
      </w:r>
      <w:r>
        <w:rPr>
          <w:rStyle w:val="NormalTok"/>
        </w:rPr>
        <w:t xml:space="preserve">(</w:t>
      </w:r>
      <w:r>
        <w:rPr>
          <w:rStyle w:val="FunctionTok"/>
        </w:rPr>
        <w:t xml:space="preserve">lapply</w:t>
      </w:r>
      <w:r>
        <w:rPr>
          <w:rStyle w:val="NormalTok"/>
        </w:rPr>
        <w:t xml:space="preserve">(all_coefs, names)))</w:t>
      </w:r>
      <w:r>
        <w:br/>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(covariate_order)) {</w:t>
      </w:r>
      <w:r>
        <w:br/>
      </w:r>
      <w:r>
        <w:rPr>
          <w:rStyle w:val="NormalTok"/>
        </w:rPr>
        <w:t xml:space="preserve">    covariate_order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FunctionTok"/>
        </w:rPr>
        <w:t xml:space="preserve">sort</w:t>
      </w:r>
      <w:r>
        <w:rPr>
          <w:rStyle w:val="NormalTok"/>
        </w:rPr>
        <w:t xml:space="preserve">(all_covariate_names[all_covariate_names </w:t>
      </w:r>
      <w:r>
        <w:rPr>
          <w:rStyle w:val="SpecialCharTok"/>
        </w:rPr>
        <w:t xml:space="preserve">!=</w:t>
      </w:r>
      <w:r>
        <w:rPr>
          <w:rStyle w:val="NormalTok"/>
        </w:rPr>
        <w:t xml:space="preserve"> </w:t>
      </w:r>
      <w:r>
        <w:rPr>
          <w:rStyle w:val="StringTok"/>
        </w:rPr>
        <w:t xml:space="preserve">"(Intercept)"</w:t>
      </w:r>
      <w:r>
        <w:rPr>
          <w:rStyle w:val="NormalTok"/>
        </w:rPr>
        <w:t xml:space="preserve">]))</w:t>
      </w:r>
      <w:r>
        <w:br/>
      </w:r>
      <w:r>
        <w:rPr>
          <w:rStyle w:val="NormalTok"/>
        </w:rPr>
        <w:t xml:space="preserve">  }</w:t>
      </w:r>
      <w:r>
        <w:br/>
      </w:r>
      <w:r>
        <w:rPr>
          <w:rStyle w:val="NormalTok"/>
        </w:rPr>
        <w:t xml:space="preserve">  covariate_order </w:t>
      </w:r>
      <w:r>
        <w:rPr>
          <w:rStyle w:val="OtherTok"/>
        </w:rPr>
        <w:t xml:space="preserve">&lt;-</w:t>
      </w:r>
      <w:r>
        <w:rPr>
          <w:rStyle w:val="NormalTok"/>
        </w:rPr>
        <w:t xml:space="preserve"> covariate_order[covariate_order </w:t>
      </w:r>
      <w:r>
        <w:rPr>
          <w:rStyle w:val="SpecialCharTok"/>
        </w:rPr>
        <w:t xml:space="preserve">%in%</w:t>
      </w:r>
      <w:r>
        <w:rPr>
          <w:rStyle w:val="NormalTok"/>
        </w:rPr>
        <w:t xml:space="preserve"> all_covariate_names]</w:t>
      </w:r>
      <w:r>
        <w:br/>
      </w:r>
      <w:r>
        <w:rPr>
          <w:rStyle w:val="NormalTok"/>
        </w:rPr>
        <w:t xml:space="preserve">  final_order </w:t>
      </w:r>
      <w:r>
        <w:rPr>
          <w:rStyle w:val="OtherTok"/>
        </w:rPr>
        <w:t xml:space="preserve">&lt;-</w:t>
      </w:r>
      <w:r>
        <w:rPr>
          <w:rStyle w:val="NormalTok"/>
        </w:rPr>
        <w:t xml:space="preserve"> </w:t>
      </w:r>
      <w:r>
        <w:rPr>
          <w:rStyle w:val="FunctionTok"/>
        </w:rPr>
        <w:t xml:space="preserve">c</w:t>
      </w:r>
      <w:r>
        <w:rPr>
          <w:rStyle w:val="NormalTok"/>
        </w:rPr>
        <w:t xml:space="preserve">(covariate_order, </w:t>
      </w:r>
      <w:r>
        <w:rPr>
          <w:rStyle w:val="StringTok"/>
        </w:rPr>
        <w:t xml:space="preserve">"R2m"</w:t>
      </w:r>
      <w:r>
        <w:rPr>
          <w:rStyle w:val="NormalTok"/>
        </w:rPr>
        <w:t xml:space="preserve">, </w:t>
      </w:r>
      <w:r>
        <w:rPr>
          <w:rStyle w:val="StringTok"/>
        </w:rPr>
        <w:t xml:space="preserve">"R2c"</w:t>
      </w:r>
      <w:r>
        <w:rPr>
          <w:rStyle w:val="NormalTok"/>
        </w:rPr>
        <w:t xml:space="preserve">)</w:t>
      </w:r>
      <w:r>
        <w:br/>
      </w:r>
      <w:r>
        <w:br/>
      </w:r>
      <w:r>
        <w:rPr>
          <w:rStyle w:val="NormalTok"/>
        </w:rPr>
        <w:t xml:space="preserve">  </w:t>
      </w:r>
      <w:r>
        <w:rPr>
          <w:rStyle w:val="CommentTok"/>
        </w:rPr>
        <w:t xml:space="preserve"># Matrix erstellen (Ihr Originalcode)</w:t>
      </w:r>
      <w:r>
        <w:br/>
      </w:r>
      <w:r>
        <w:rPr>
          <w:rStyle w:val="NormalTok"/>
        </w:rPr>
        <w:t xml:space="preserve">  results_matrix </w:t>
      </w:r>
      <w:r>
        <w:rPr>
          <w:rStyle w:val="OtherTok"/>
        </w:rPr>
        <w:t xml:space="preserve">&lt;-</w:t>
      </w:r>
      <w:r>
        <w:rPr>
          <w:rStyle w:val="NormalTok"/>
        </w:rPr>
        <w:t xml:space="preserve"> </w:t>
      </w:r>
      <w:r>
        <w:rPr>
          <w:rStyle w:val="FunctionTok"/>
        </w:rPr>
        <w:t xml:space="preserve">matrix</w:t>
      </w:r>
      <w:r>
        <w:rPr>
          <w:rStyle w:val="Normal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nrow =</w:t>
      </w:r>
      <w:r>
        <w:rPr>
          <w:rStyle w:val="NormalTok"/>
        </w:rPr>
        <w:t xml:space="preserve"> </w:t>
      </w:r>
      <w:r>
        <w:rPr>
          <w:rStyle w:val="FunctionTok"/>
        </w:rPr>
        <w:t xml:space="preserve">length</w:t>
      </w:r>
      <w:r>
        <w:rPr>
          <w:rStyle w:val="NormalTok"/>
        </w:rPr>
        <w:t xml:space="preserve">(final_order),</w:t>
      </w:r>
      <w:r>
        <w:br/>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(lmer_models),</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(final_order, </w:t>
      </w:r>
      <w:r>
        <w:rPr>
          <w:rStyle w:val="FunctionTok"/>
        </w:rPr>
        <w:t xml:space="preserve">names</w:t>
      </w:r>
      <w:r>
        <w:rPr>
          <w:rStyle w:val="NormalTok"/>
        </w:rPr>
        <w:t xml:space="preserve">(lmer_models)))</w:t>
      </w:r>
      <w:r>
        <w:br/>
      </w:r>
      <w:r>
        <w:br/>
      </w:r>
      <w:r>
        <w:rPr>
          <w:rStyle w:val="NormalTok"/>
        </w:rPr>
        <w:t xml:space="preserve">  </w:t>
      </w:r>
      <w:r>
        <w:rPr>
          <w:rStyle w:val="CommentTok"/>
        </w:rPr>
        <w:t xml:space="preserve"># Matrix füllen (Ihr Originalcode)</w:t>
      </w:r>
      <w:r>
        <w:br/>
      </w:r>
      <w:r>
        <w:rPr>
          <w:rStyle w:val="NormalTok"/>
        </w:rPr>
        <w:t xml:space="preserve">  </w:t>
      </w:r>
      <w:r>
        <w:rPr>
          <w:rStyle w:val="ControlFlowTok"/>
        </w:rPr>
        <w:t xml:space="preserve">for</w:t>
      </w:r>
      <w:r>
        <w:rPr>
          <w:rStyle w:val="NormalTok"/>
        </w:rPr>
        <w:t xml:space="preserve"> (model_name </w:t>
      </w:r>
      <w:r>
        <w:rPr>
          <w:rStyle w:val="ControlFlowTok"/>
        </w:rPr>
        <w:t xml:space="preserve">in</w:t>
      </w:r>
      <w:r>
        <w:rPr>
          <w:rStyle w:val="NormalTok"/>
        </w:rPr>
        <w:t xml:space="preserve"> </w:t>
      </w:r>
      <w:r>
        <w:rPr>
          <w:rStyle w:val="FunctionTok"/>
        </w:rPr>
        <w:t xml:space="preserve">names</w:t>
      </w:r>
      <w:r>
        <w:rPr>
          <w:rStyle w:val="NormalTok"/>
        </w:rPr>
        <w:t xml:space="preserve">(lmer_models)) {</w:t>
      </w:r>
      <w:r>
        <w:br/>
      </w:r>
      <w:r>
        <w:rPr>
          <w:rStyle w:val="NormalTok"/>
        </w:rPr>
        <w:t xml:space="preserve">    model_coefs </w:t>
      </w:r>
      <w:r>
        <w:rPr>
          <w:rStyle w:val="OtherTok"/>
        </w:rPr>
        <w:t xml:space="preserve">&lt;-</w:t>
      </w:r>
      <w:r>
        <w:rPr>
          <w:rStyle w:val="NormalTok"/>
        </w:rPr>
        <w:t xml:space="preserve"> all_coefs[[model_name]]</w:t>
      </w:r>
      <w:r>
        <w:br/>
      </w:r>
      <w:r>
        <w:rPr>
          <w:rStyle w:val="NormalTok"/>
        </w:rPr>
        <w:t xml:space="preserve">    </w:t>
      </w:r>
      <w:r>
        <w:rPr>
          <w:rStyle w:val="ControlFlowTok"/>
        </w:rPr>
        <w:t xml:space="preserve">for</w:t>
      </w:r>
      <w:r>
        <w:rPr>
          <w:rStyle w:val="NormalTok"/>
        </w:rPr>
        <w:t xml:space="preserve"> (covar </w:t>
      </w:r>
      <w:r>
        <w:rPr>
          <w:rStyle w:val="ControlFlowTok"/>
        </w:rPr>
        <w:t xml:space="preserve">in</w:t>
      </w:r>
      <w:r>
        <w:rPr>
          <w:rStyle w:val="NormalTok"/>
        </w:rPr>
        <w:t xml:space="preserve"> </w:t>
      </w:r>
      <w:r>
        <w:rPr>
          <w:rStyle w:val="FunctionTok"/>
        </w:rPr>
        <w:t xml:space="preserve">names</w:t>
      </w:r>
      <w:r>
        <w:rPr>
          <w:rStyle w:val="NormalTok"/>
        </w:rPr>
        <w:t xml:space="preserve">(model_coefs)) {</w:t>
      </w:r>
      <w:r>
        <w:br/>
      </w:r>
      <w:r>
        <w:rPr>
          <w:rStyle w:val="NormalTok"/>
        </w:rPr>
        <w:t xml:space="preserve">      </w:t>
      </w:r>
      <w:r>
        <w:rPr>
          <w:rStyle w:val="ControlFlowTok"/>
        </w:rPr>
        <w:t xml:space="preserve">if</w:t>
      </w:r>
      <w:r>
        <w:rPr>
          <w:rStyle w:val="NormalTok"/>
        </w:rPr>
        <w:t xml:space="preserve"> (covar </w:t>
      </w:r>
      <w:r>
        <w:rPr>
          <w:rStyle w:val="SpecialCharTok"/>
        </w:rPr>
        <w:t xml:space="preserve">%in%</w:t>
      </w:r>
      <w:r>
        <w:rPr>
          <w:rStyle w:val="NormalTok"/>
        </w:rPr>
        <w:t xml:space="preserve"> covariate_order) {</w:t>
      </w:r>
      <w:r>
        <w:br/>
      </w:r>
      <w:r>
        <w:rPr>
          <w:rStyle w:val="NormalTok"/>
        </w:rPr>
        <w:t xml:space="preserve">        results_matrix[covar, model_name] </w:t>
      </w:r>
      <w:r>
        <w:rPr>
          <w:rStyle w:val="OtherTok"/>
        </w:rPr>
        <w:t xml:space="preserve">&lt;-</w:t>
      </w:r>
      <w:r>
        <w:rPr>
          <w:rStyle w:val="NormalTok"/>
        </w:rPr>
        <w:t xml:space="preserve"> model_coefs[covar]</w:t>
      </w:r>
      <w:r>
        <w:br/>
      </w:r>
      <w:r>
        <w:rPr>
          <w:rStyle w:val="NormalTok"/>
        </w:rPr>
        <w:t xml:space="preserve">      }</w:t>
      </w:r>
      <w:r>
        <w:br/>
      </w:r>
      <w:r>
        <w:rPr>
          <w:rStyle w:val="NormalTok"/>
        </w:rPr>
        <w:t xml:space="preserve">    }</w:t>
      </w:r>
      <w:r>
        <w:br/>
      </w:r>
      <w:r>
        <w:rPr>
          <w:rStyle w:val="NormalTok"/>
        </w:rPr>
        <w:t xml:space="preserve">    r2_values </w:t>
      </w:r>
      <w:r>
        <w:rPr>
          <w:rStyle w:val="OtherTok"/>
        </w:rPr>
        <w:t xml:space="preserve">&lt;-</w:t>
      </w:r>
      <w:r>
        <w:rPr>
          <w:rStyle w:val="NormalTok"/>
        </w:rPr>
        <w:t xml:space="preserve"> all_r_squared[[model_name]]</w:t>
      </w:r>
      <w:r>
        <w:br/>
      </w:r>
      <w:r>
        <w:rPr>
          <w:rStyle w:val="NormalTok"/>
        </w:rPr>
        <w:t xml:space="preserve">    results_matrix[</w:t>
      </w:r>
      <w:r>
        <w:rPr>
          <w:rStyle w:val="StringTok"/>
        </w:rPr>
        <w:t xml:space="preserve">"R2m"</w:t>
      </w:r>
      <w:r>
        <w:rPr>
          <w:rStyle w:val="NormalTok"/>
        </w:rPr>
        <w:t xml:space="preserve">, model_name] </w:t>
      </w:r>
      <w:r>
        <w:rPr>
          <w:rStyle w:val="OtherTok"/>
        </w:rPr>
        <w:t xml:space="preserve">&lt;-</w:t>
      </w:r>
      <w:r>
        <w:rPr>
          <w:rStyle w:val="NormalTok"/>
        </w:rPr>
        <w:t xml:space="preserve"> r2_values[</w:t>
      </w:r>
      <w:r>
        <w:rPr>
          <w:rStyle w:val="StringTok"/>
        </w:rPr>
        <w:t xml:space="preserve">"R2m"</w:t>
      </w:r>
      <w:r>
        <w:rPr>
          <w:rStyle w:val="NormalTok"/>
        </w:rPr>
        <w:t xml:space="preserve">]</w:t>
      </w:r>
      <w:r>
        <w:br/>
      </w:r>
      <w:r>
        <w:rPr>
          <w:rStyle w:val="NormalTok"/>
        </w:rPr>
        <w:t xml:space="preserve">    results_matrix[</w:t>
      </w:r>
      <w:r>
        <w:rPr>
          <w:rStyle w:val="StringTok"/>
        </w:rPr>
        <w:t xml:space="preserve">"R2c"</w:t>
      </w:r>
      <w:r>
        <w:rPr>
          <w:rStyle w:val="NormalTok"/>
        </w:rPr>
        <w:t xml:space="preserve">, model_name] </w:t>
      </w:r>
      <w:r>
        <w:rPr>
          <w:rStyle w:val="OtherTok"/>
        </w:rPr>
        <w:t xml:space="preserve">&lt;-</w:t>
      </w:r>
      <w:r>
        <w:rPr>
          <w:rStyle w:val="NormalTok"/>
        </w:rPr>
        <w:t xml:space="preserve"> r2_values[</w:t>
      </w:r>
      <w:r>
        <w:rPr>
          <w:rStyle w:val="StringTok"/>
        </w:rPr>
        <w:t xml:space="preserve">"R2c"</w:t>
      </w:r>
      <w:r>
        <w:rPr>
          <w:rStyle w:val="NormalTok"/>
        </w:rPr>
        <w:t xml:space="preserve">]</w:t>
      </w:r>
      <w:r>
        <w:br/>
      </w:r>
      <w:r>
        <w:rPr>
          <w:rStyle w:val="NormalTok"/>
        </w:rPr>
        <w:t xml:space="preserve">  }</w:t>
      </w:r>
      <w:r>
        <w:br/>
      </w:r>
      <w:r>
        <w:br/>
      </w:r>
      <w:r>
        <w:rPr>
          <w:rStyle w:val="NormalTok"/>
        </w:rPr>
        <w:t xml:space="preserve">  </w:t>
      </w:r>
      <w:r>
        <w:rPr>
          <w:rStyle w:val="CommentTok"/>
        </w:rPr>
        <w:t xml:space="preserve"># --- NEU: Zeilen- und Spaltennamen ersetzen ---</w:t>
      </w:r>
      <w:r>
        <w:br/>
      </w:r>
      <w:r>
        <w:rPr>
          <w:rStyle w:val="NormalTok"/>
        </w:rPr>
        <w:t xml:space="preserve">  </w:t>
      </w:r>
      <w:r>
        <w:br/>
      </w:r>
      <w:r>
        <w:rPr>
          <w:rStyle w:val="NormalTok"/>
        </w:rPr>
        <w:t xml:space="preserve">  </w:t>
      </w:r>
      <w:r>
        <w:rPr>
          <w:rStyle w:val="CommentTok"/>
        </w:rPr>
        <w:t xml:space="preserve"># Ersetze die Zeilennamen (Kovariaten), falls covariate_labels übergeben wurde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(covariate_labels)) {</w:t>
      </w:r>
      <w:r>
        <w:br/>
      </w:r>
      <w:r>
        <w:rPr>
          <w:rStyle w:val="NormalTok"/>
        </w:rPr>
        <w:t xml:space="preserve">    </w:t>
      </w:r>
      <w:r>
        <w:rPr>
          <w:rStyle w:val="CommentTok"/>
        </w:rPr>
        <w:t xml:space="preserve"># Finde die Übereinstimmungen in den aktuellen Zeilennamen</w:t>
      </w:r>
      <w:r>
        <w:br/>
      </w:r>
      <w:r>
        <w:rPr>
          <w:rStyle w:val="NormalTok"/>
        </w:rPr>
        <w:t xml:space="preserve">    row_matches </w:t>
      </w:r>
      <w:r>
        <w:rPr>
          <w:rStyle w:val="OtherTok"/>
        </w:rPr>
        <w:t xml:space="preserve">&lt;-</w:t>
      </w:r>
      <w:r>
        <w:rPr>
          <w:rStyle w:val="NormalTok"/>
        </w:rPr>
        <w:t xml:space="preserve"> </w:t>
      </w:r>
      <w:r>
        <w:rPr>
          <w:rStyle w:val="FunctionTok"/>
        </w:rPr>
        <w:t xml:space="preserve">match</w:t>
      </w:r>
      <w:r>
        <w:rPr>
          <w:rStyle w:val="NormalTok"/>
        </w:rPr>
        <w:t xml:space="preserve">(</w:t>
      </w:r>
      <w:r>
        <w:rPr>
          <w:rStyle w:val="FunctionTok"/>
        </w:rPr>
        <w:t xml:space="preserve">rownames</w:t>
      </w:r>
      <w:r>
        <w:rPr>
          <w:rStyle w:val="NormalTok"/>
        </w:rPr>
        <w:t xml:space="preserve">(results_matrix), </w:t>
      </w:r>
      <w:r>
        <w:rPr>
          <w:rStyle w:val="FunctionTok"/>
        </w:rPr>
        <w:t xml:space="preserve">names</w:t>
      </w:r>
      <w:r>
        <w:rPr>
          <w:rStyle w:val="NormalTok"/>
        </w:rPr>
        <w:t xml:space="preserve">(covariate_labels))</w:t>
      </w:r>
      <w:r>
        <w:br/>
      </w:r>
      <w:r>
        <w:rPr>
          <w:rStyle w:val="NormalTok"/>
        </w:rPr>
        <w:t xml:space="preserve">    </w:t>
      </w:r>
      <w:r>
        <w:rPr>
          <w:rStyle w:val="CommentTok"/>
        </w:rPr>
        <w:t xml:space="preserve"># Ersetze nur die, die gefunden wurden</w:t>
      </w:r>
      <w:r>
        <w:br/>
      </w:r>
      <w:r>
        <w:rPr>
          <w:rStyle w:val="NormalTok"/>
        </w:rPr>
        <w:t xml:space="preserve">    new_rownames </w:t>
      </w:r>
      <w:r>
        <w:rPr>
          <w:rStyle w:val="OtherTok"/>
        </w:rPr>
        <w:t xml:space="preserve">&lt;-</w:t>
      </w:r>
      <w:r>
        <w:rPr>
          <w:rStyle w:val="NormalTok"/>
        </w:rPr>
        <w:t xml:space="preserve"> </w:t>
      </w:r>
      <w:r>
        <w:rPr>
          <w:rStyle w:val="FunctionTok"/>
        </w:rPr>
        <w:t xml:space="preserve">rownames</w:t>
      </w:r>
      <w:r>
        <w:rPr>
          <w:rStyle w:val="NormalTok"/>
        </w:rPr>
        <w:t xml:space="preserve">(results_matrix)</w:t>
      </w:r>
      <w:r>
        <w:br/>
      </w:r>
      <w:r>
        <w:rPr>
          <w:rStyle w:val="NormalTok"/>
        </w:rPr>
        <w:t xml:space="preserve">    new_rownames[</w:t>
      </w:r>
      <w:r>
        <w:rPr>
          <w:rStyle w:val="SpecialCharTok"/>
        </w:rPr>
        <w:t xml:space="preserve">!</w:t>
      </w:r>
      <w:r>
        <w:rPr>
          <w:rStyle w:val="FunctionTok"/>
        </w:rPr>
        <w:t xml:space="preserve">is.na</w:t>
      </w:r>
      <w:r>
        <w:rPr>
          <w:rStyle w:val="NormalTok"/>
        </w:rPr>
        <w:t xml:space="preserve">(row_matches)] </w:t>
      </w:r>
      <w:r>
        <w:rPr>
          <w:rStyle w:val="OtherTok"/>
        </w:rPr>
        <w:t xml:space="preserve">&lt;-</w:t>
      </w:r>
      <w:r>
        <w:rPr>
          <w:rStyle w:val="NormalTok"/>
        </w:rPr>
        <w:t xml:space="preserve"> covariate_labels[row_matches[</w:t>
      </w:r>
      <w:r>
        <w:rPr>
          <w:rStyle w:val="SpecialCharTok"/>
        </w:rPr>
        <w:t xml:space="preserve">!</w:t>
      </w:r>
      <w:r>
        <w:rPr>
          <w:rStyle w:val="FunctionTok"/>
        </w:rPr>
        <w:t xml:space="preserve">is.na</w:t>
      </w:r>
      <w:r>
        <w:rPr>
          <w:rStyle w:val="NormalTok"/>
        </w:rPr>
        <w:t xml:space="preserve">(row_matches)]]</w:t>
      </w:r>
      <w:r>
        <w:br/>
      </w:r>
      <w:r>
        <w:rPr>
          <w:rStyle w:val="NormalTok"/>
        </w:rPr>
        <w:t xml:space="preserve">    </w:t>
      </w:r>
      <w:r>
        <w:rPr>
          <w:rStyle w:val="FunctionTok"/>
        </w:rPr>
        <w:t xml:space="preserve">rownames</w:t>
      </w:r>
      <w:r>
        <w:rPr>
          <w:rStyle w:val="NormalTok"/>
        </w:rPr>
        <w:t xml:space="preserve">(results_matrix) </w:t>
      </w:r>
      <w:r>
        <w:rPr>
          <w:rStyle w:val="OtherTok"/>
        </w:rPr>
        <w:t xml:space="preserve">&lt;-</w:t>
      </w:r>
      <w:r>
        <w:rPr>
          <w:rStyle w:val="NormalTok"/>
        </w:rPr>
        <w:t xml:space="preserve"> new_rownames</w:t>
      </w:r>
      <w:r>
        <w:br/>
      </w:r>
      <w:r>
        <w:rPr>
          <w:rStyle w:val="NormalTok"/>
        </w:rPr>
        <w:t xml:space="preserve">  }</w:t>
      </w:r>
      <w:r>
        <w:br/>
      </w:r>
      <w:r>
        <w:rPr>
          <w:rStyle w:val="NormalTok"/>
        </w:rPr>
        <w:t xml:space="preserve">  </w:t>
      </w:r>
      <w:r>
        <w:br/>
      </w:r>
      <w:r>
        <w:rPr>
          <w:rStyle w:val="NormalTok"/>
        </w:rPr>
        <w:t xml:space="preserve">  </w:t>
      </w:r>
      <w:r>
        <w:rPr>
          <w:rStyle w:val="CommentTok"/>
        </w:rPr>
        <w:t xml:space="preserve"># Ersetze die Spaltennamen (Modelle), falls model_labels übergeben wurde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(model_labels)) {</w:t>
      </w:r>
      <w:r>
        <w:br/>
      </w:r>
      <w:r>
        <w:rPr>
          <w:rStyle w:val="NormalTok"/>
        </w:rPr>
        <w:t xml:space="preserve">    col_matches </w:t>
      </w:r>
      <w:r>
        <w:rPr>
          <w:rStyle w:val="OtherTok"/>
        </w:rPr>
        <w:t xml:space="preserve">&lt;-</w:t>
      </w:r>
      <w:r>
        <w:rPr>
          <w:rStyle w:val="NormalTok"/>
        </w:rPr>
        <w:t xml:space="preserve"> </w:t>
      </w:r>
      <w:r>
        <w:rPr>
          <w:rStyle w:val="FunctionTok"/>
        </w:rPr>
        <w:t xml:space="preserve">match</w:t>
      </w:r>
      <w:r>
        <w:rPr>
          <w:rStyle w:val="NormalTok"/>
        </w:rPr>
        <w:t xml:space="preserve">(</w:t>
      </w:r>
      <w:r>
        <w:rPr>
          <w:rStyle w:val="FunctionTok"/>
        </w:rPr>
        <w:t xml:space="preserve">colnames</w:t>
      </w:r>
      <w:r>
        <w:rPr>
          <w:rStyle w:val="NormalTok"/>
        </w:rPr>
        <w:t xml:space="preserve">(results_matrix), </w:t>
      </w:r>
      <w:r>
        <w:rPr>
          <w:rStyle w:val="FunctionTok"/>
        </w:rPr>
        <w:t xml:space="preserve">names</w:t>
      </w:r>
      <w:r>
        <w:rPr>
          <w:rStyle w:val="NormalTok"/>
        </w:rPr>
        <w:t xml:space="preserve">(model_labels))</w:t>
      </w:r>
      <w:r>
        <w:br/>
      </w:r>
      <w:r>
        <w:rPr>
          <w:rStyle w:val="NormalTok"/>
        </w:rPr>
        <w:t xml:space="preserve">    new_colnames </w:t>
      </w:r>
      <w:r>
        <w:rPr>
          <w:rStyle w:val="OtherTok"/>
        </w:rPr>
        <w:t xml:space="preserve">&lt;-</w:t>
      </w:r>
      <w:r>
        <w:rPr>
          <w:rStyle w:val="NormalTok"/>
        </w:rPr>
        <w:t xml:space="preserve"> </w:t>
      </w:r>
      <w:r>
        <w:rPr>
          <w:rStyle w:val="FunctionTok"/>
        </w:rPr>
        <w:t xml:space="preserve">colnames</w:t>
      </w:r>
      <w:r>
        <w:rPr>
          <w:rStyle w:val="NormalTok"/>
        </w:rPr>
        <w:t xml:space="preserve">(results_matrix)</w:t>
      </w:r>
      <w:r>
        <w:br/>
      </w:r>
      <w:r>
        <w:rPr>
          <w:rStyle w:val="NormalTok"/>
        </w:rPr>
        <w:t xml:space="preserve">    new_colnames[</w:t>
      </w:r>
      <w:r>
        <w:rPr>
          <w:rStyle w:val="SpecialCharTok"/>
        </w:rPr>
        <w:t xml:space="preserve">!</w:t>
      </w:r>
      <w:r>
        <w:rPr>
          <w:rStyle w:val="FunctionTok"/>
        </w:rPr>
        <w:t xml:space="preserve">is.na</w:t>
      </w:r>
      <w:r>
        <w:rPr>
          <w:rStyle w:val="NormalTok"/>
        </w:rPr>
        <w:t xml:space="preserve">(col_matches)] </w:t>
      </w:r>
      <w:r>
        <w:rPr>
          <w:rStyle w:val="OtherTok"/>
        </w:rPr>
        <w:t xml:space="preserve">&lt;-</w:t>
      </w:r>
      <w:r>
        <w:rPr>
          <w:rStyle w:val="NormalTok"/>
        </w:rPr>
        <w:t xml:space="preserve"> model_labels[col_matches[</w:t>
      </w:r>
      <w:r>
        <w:rPr>
          <w:rStyle w:val="SpecialCharTok"/>
        </w:rPr>
        <w:t xml:space="preserve">!</w:t>
      </w:r>
      <w:r>
        <w:rPr>
          <w:rStyle w:val="FunctionTok"/>
        </w:rPr>
        <w:t xml:space="preserve">is.na</w:t>
      </w:r>
      <w:r>
        <w:rPr>
          <w:rStyle w:val="NormalTok"/>
        </w:rPr>
        <w:t xml:space="preserve">(col_matches)]]</w:t>
      </w:r>
      <w:r>
        <w:br/>
      </w:r>
      <w:r>
        <w:rPr>
          <w:rStyle w:val="NormalTok"/>
        </w:rPr>
        <w:t xml:space="preserve">    </w:t>
      </w:r>
      <w:r>
        <w:rPr>
          <w:rStyle w:val="FunctionTok"/>
        </w:rPr>
        <w:t xml:space="preserve">colnames</w:t>
      </w:r>
      <w:r>
        <w:rPr>
          <w:rStyle w:val="NormalTok"/>
        </w:rPr>
        <w:t xml:space="preserve">(results_matrix) </w:t>
      </w:r>
      <w:r>
        <w:rPr>
          <w:rStyle w:val="OtherTok"/>
        </w:rPr>
        <w:t xml:space="preserve">&lt;-</w:t>
      </w:r>
      <w:r>
        <w:rPr>
          <w:rStyle w:val="NormalTok"/>
        </w:rPr>
        <w:t xml:space="preserve"> new_colnames</w:t>
      </w:r>
      <w:r>
        <w:br/>
      </w:r>
      <w:r>
        <w:rPr>
          <w:rStyle w:val="NormalTok"/>
        </w:rPr>
        <w:t xml:space="preserve">  }</w:t>
      </w:r>
      <w:r>
        <w:br/>
      </w:r>
      <w:r>
        <w:rPr>
          <w:rStyle w:val="NormalTok"/>
        </w:rPr>
        <w:t xml:space="preserve">  </w:t>
      </w:r>
      <w:r>
        <w:br/>
      </w:r>
      <w:r>
        <w:rPr>
          <w:rStyle w:val="NormalTok"/>
        </w:rPr>
        <w:t xml:space="preserve">  </w:t>
      </w:r>
      <w:r>
        <w:rPr>
          <w:rStyle w:val="CommentTok"/>
        </w:rPr>
        <w:t xml:space="preserve"># --- Ende der neuen Sektion ---</w:t>
      </w:r>
      <w:r>
        <w:br/>
      </w:r>
      <w:r>
        <w:br/>
      </w:r>
      <w:r>
        <w:rPr>
          <w:rStyle w:val="NormalTok"/>
        </w:rPr>
        <w:t xml:space="preserve">  </w:t>
      </w:r>
      <w:r>
        <w:rPr>
          <w:rStyle w:val="CommentTok"/>
        </w:rPr>
        <w:t xml:space="preserve"># Convert to data frame for kable</w:t>
      </w:r>
      <w:r>
        <w:br/>
      </w:r>
      <w:r>
        <w:rPr>
          <w:rStyle w:val="NormalTok"/>
        </w:rPr>
        <w:t xml:space="preserve">  results_df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StringTok"/>
        </w:rPr>
        <w:t xml:space="preserve">"Predictor"</w:t>
      </w:r>
      <w:r>
        <w:rPr>
          <w:rStyle w:val="NormalTok"/>
        </w:rPr>
        <w:t xml:space="preserve"> </w:t>
      </w:r>
      <w:r>
        <w:rPr>
          <w:rStyle w:val="OtherTok"/>
        </w:rPr>
        <w:t xml:space="preserve">=</w:t>
      </w:r>
      <w:r>
        <w:rPr>
          <w:rStyle w:val="NormalTok"/>
        </w:rPr>
        <w:t xml:space="preserve"> </w:t>
      </w:r>
      <w:r>
        <w:rPr>
          <w:rStyle w:val="FunctionTok"/>
        </w:rPr>
        <w:t xml:space="preserve">rownames</w:t>
      </w:r>
      <w:r>
        <w:rPr>
          <w:rStyle w:val="NormalTok"/>
        </w:rPr>
        <w:t xml:space="preserve">(results_matrix),</w:t>
      </w:r>
      <w:r>
        <w:br/>
      </w:r>
      <w:r>
        <w:rPr>
          <w:rStyle w:val="NormalTok"/>
        </w:rPr>
        <w:t xml:space="preserve">                           results_matrix,</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CommentTok"/>
        </w:rPr>
        <w:t xml:space="preserve"># Verhindert, dass R Spaltennamen ändert</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results_df</w:t>
      </w:r>
      <w:r>
        <w:br/>
      </w:r>
      <w:r>
        <w:rPr>
          <w:rStyle w:val="NormalTok"/>
        </w:rPr>
        <w:t xml:space="preserve">}</w:t>
      </w:r>
    </w:p>
    <w:p>
      <w:pPr>
        <w:pStyle w:val="FirstParagraph"/>
      </w:pPr>
      <w:r>
        <w:t xml:space="preserve">The results of this study are presented in two main parts. First, the development and validation of the phosphorus (P) desorption kinetic model are detailed, justifying the final modeling approach. Second, the descriptive trends of both agronomic outcomes and soil P parameters in response to long-term fertilization and site differences are explored visually. Finally, the predictive power of the kinetic and standard P parameters is formally evaluated using linear mixed-effects models.</w:t>
      </w:r>
    </w:p>
    <w:bookmarkStart w:id="19" w:name="X623e521be83114432db2f1c7d18ba665d67bdd5"/>
    <w:p>
      <w:pPr>
        <w:pStyle w:val="Heading2"/>
      </w:pPr>
      <w:r>
        <w:t xml:space="preserve">1.1 Establishment of the P-Desorption Kinetic Model</w:t>
      </w:r>
    </w:p>
    <w:p>
      <w:pPr>
        <w:pStyle w:val="FirstParagraph"/>
      </w:pPr>
      <w:r>
        <w:t xml:space="preserve">The primary goal was to derive two key parameters for each soil sample: the desorbable P pool (</w:t>
      </w:r>
      <m:oMath>
        <m:sSub>
          <m:e>
            <m:r>
              <m:t>P</m:t>
            </m:r>
          </m:e>
          <m:sub>
            <m:r>
              <m:t>d</m:t>
            </m:r>
            <m:r>
              <m:t>e</m:t>
            </m:r>
            <m:r>
              <m:t>s</m:t>
            </m:r>
            <m:r>
              <m:t>o</m:t>
            </m:r>
            <m:r>
              <m:t>r</m:t>
            </m:r>
            <m:r>
              <m:t>b</m:t>
            </m:r>
          </m:sub>
        </m:sSub>
      </m:oMath>
      <w:r>
        <w:t xml:space="preserve">) and the rate constant (</w:t>
      </w:r>
      <m:oMath>
        <m:r>
          <m:t>k</m:t>
        </m:r>
      </m:oMath>
      <w:r>
        <w:t xml:space="preserve">). The analysis proceeded in two stages: an initial test of a linearized model, followed by the implementation of a more robust non-linear model.</w:t>
      </w:r>
    </w:p>
    <w:bookmarkStart w:id="13" w:name="Xc5152bc0d8277c92f5b5561836317bc1f747dd2"/>
    <w:p>
      <w:pPr>
        <w:pStyle w:val="Heading3"/>
      </w:pPr>
      <w:r>
        <w:t xml:space="preserve">1.1.1 Initial Approach: Failure of the Linearized Model</w:t>
      </w:r>
    </w:p>
    <w:p>
      <w:pPr>
        <w:pStyle w:val="FirstParagraph"/>
      </w:pPr>
      <w:r>
        <w:t xml:space="preserve">Following the conceptual framework of Flossmann and Richter (1982), the first-order kinetic equation was linearized. A core assumption of this model is that the linear relationship must pass through the origin (0/0) of the coordinate system. To test this, linear models were fitted to the transformed data for each sample individually. The results revealed a systematic failure of this assumption, as the estimated intercepts for the majority of samples were highly significantly different from zero (p &lt; 0.05). This consistent statistical deviation indicated that the linearized approach was not a valid representation of the data. The visual evidence in</w:t>
      </w:r>
      <w:r>
        <w:t xml:space="preserve"> </w:t>
      </w:r>
      <w:hyperlink w:anchor="fig-linearized-model">
        <w:r>
          <w:rPr>
            <w:rStyle w:val="Hyperlink"/>
          </w:rPr>
          <w:t xml:space="preserve">Figure 1</w:t>
        </w:r>
      </w:hyperlink>
      <w:r>
        <w:t xml:space="preserve"> </w:t>
      </w:r>
      <w:r>
        <w:t xml:space="preserve">supports this conclusion.</w:t>
      </w:r>
    </w:p>
    <w:tbl>
      <w:tblPr>
        <w:tblStyle w:val="Table"/>
        <w:tblW w:type="pct" w:w="5000"/>
        <w:tblLayout w:type="fixed"/>
        <w:tblLook w:firstRow="0" w:lastRow="0" w:firstColumn="0" w:lastColumn="0" w:noHBand="0" w:noVBand="0" w:val="0000"/>
      </w:tblPr>
      <w:tblGrid>
        <w:gridCol w:w="7920"/>
      </w:tblGrid>
      <w:tr>
        <w:tc>
          <w:tcPr/>
          <w:bookmarkStart w:id="12" w:name="fig-linearized-model"/>
          <w:p>
            <w:pPr>
              <w:pStyle w:val="Compact"/>
              <w:jc w:val="center"/>
            </w:pPr>
            <w:r>
              <w:drawing>
                <wp:inline>
                  <wp:extent cx="4620126" cy="4620126"/>
                  <wp:effectExtent b="0" l="0" r="0" t="0"/>
                  <wp:docPr descr="" title="" id="10" name="Picture"/>
                  <a:graphic>
                    <a:graphicData uri="http://schemas.openxmlformats.org/drawingml/2006/picture">
                      <pic:pic>
                        <pic:nvPicPr>
                          <pic:cNvPr descr="25-results_files/figure-docx/fig-linearized-model-1.png" id="11" name="Picture"/>
                          <pic:cNvPicPr>
                            <a:picLocks noChangeArrowheads="1" noChangeAspect="1"/>
                          </pic:cNvPicPr>
                        </pic:nvPicPr>
                        <pic:blipFill>
                          <a:blip r:embed="rId9"/>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Test of the linearized first-order kinetic model. The plot visually supports the statistical finding that many intercepts are not zero.</w:t>
            </w:r>
          </w:p>
          <w:bookmarkEnd w:id="12"/>
        </w:tc>
      </w:tr>
    </w:tbl>
    <w:bookmarkEnd w:id="13"/>
    <w:bookmarkStart w:id="18" w:name="Xa1f48741cc3a88a20671852547ba1fa19b477bc"/>
    <w:p>
      <w:pPr>
        <w:pStyle w:val="Heading3"/>
      </w:pPr>
      <w:r>
        <w:t xml:space="preserve">1.1.2 Final Approach: Successful Non-Linear Model</w:t>
      </w:r>
    </w:p>
    <w:p>
      <w:pPr>
        <w:pStyle w:val="FirstParagraph"/>
      </w:pPr>
      <w:r>
        <w:t xml:space="preserve">Given the statistical failure of the linearized model, a direct non-linear modeling approach was adopted to estimate both</w:t>
      </w:r>
      <w:r>
        <w:t xml:space="preserve"> </w:t>
      </w:r>
      <m:oMath>
        <m:sSub>
          <m:e>
            <m:r>
              <m:t>P</m:t>
            </m:r>
          </m:e>
          <m:sub>
            <m:r>
              <m:t>d</m:t>
            </m:r>
            <m:r>
              <m:t>e</m:t>
            </m:r>
            <m:r>
              <m:t>s</m:t>
            </m:r>
            <m:r>
              <m:t>o</m:t>
            </m:r>
            <m:r>
              <m:t>r</m:t>
            </m:r>
            <m:r>
              <m:t>b</m:t>
            </m:r>
          </m:sub>
        </m:sSub>
      </m:oMath>
      <w:r>
        <w:t xml:space="preserve"> </w:t>
      </w:r>
      <w:r>
        <w:t xml:space="preserve">and</w:t>
      </w:r>
      <w:r>
        <w:t xml:space="preserve"> </w:t>
      </w:r>
      <m:oMath>
        <m:r>
          <m:t>k</m:t>
        </m:r>
      </m:oMath>
      <w:r>
        <w:t xml:space="preserve"> </w:t>
      </w:r>
      <w:r>
        <w:t xml:space="preserve">simultaneously from the untransformed data. This approach does not rely on the assumption of a zero intercept and proved to be far more successful, accurately capturing the curvilinear shape of the desorption data for nearly all samples (</w:t>
      </w:r>
      <w:hyperlink w:anchor="fig-nonlinear-model">
        <w:r>
          <w:rPr>
            <w:rStyle w:val="Hyperlink"/>
          </w:rPr>
          <w:t xml:space="preserve">Figure 2</w:t>
        </w:r>
      </w:hyperlink>
      <w:r>
        <w:t xml:space="preserve">). The final parameters were extracted from a non-linear mixed-effects model (</w:t>
      </w:r>
      <w:r>
        <w:rPr>
          <w:rStyle w:val="VerbatimChar"/>
        </w:rPr>
        <w:t xml:space="preserve">nlme</w:t>
      </w:r>
      <w:r>
        <w:t xml:space="preserve">) to account for the hierarchical data structure.</w:t>
      </w:r>
      <w:r>
        <w:t xml:space="preserve"> </w:t>
      </w:r>
      <w:r>
        <w:rPr>
          <w:b/>
          <w:bCs/>
        </w:rPr>
        <w:t xml:space="preserve">These final</w:t>
      </w:r>
      <w:r>
        <w:rPr>
          <w:b/>
          <w:bCs/>
        </w:rPr>
        <w:t xml:space="preserve"> </w:t>
      </w:r>
      <w:r>
        <w:rPr>
          <w:rStyle w:val="VerbatimChar"/>
          <w:b/>
          <w:bCs/>
        </w:rPr>
        <w:t xml:space="preserve">nlme</w:t>
      </w:r>
      <w:r>
        <w:rPr>
          <w:b/>
          <w:bCs/>
        </w:rPr>
        <w:t xml:space="preserve">-derived coefficients were used for all subsequent analyses.</w:t>
      </w:r>
    </w:p>
    <w:tbl>
      <w:tblPr>
        <w:tblStyle w:val="Table"/>
        <w:tblW w:type="pct" w:w="5000"/>
        <w:tblLayout w:type="fixed"/>
        <w:tblLook w:firstRow="0" w:lastRow="0" w:firstColumn="0" w:lastColumn="0" w:noHBand="0" w:noVBand="0" w:val="0000"/>
      </w:tblPr>
      <w:tblGrid>
        <w:gridCol w:w="7920"/>
      </w:tblGrid>
      <w:tr>
        <w:tc>
          <w:tcPr/>
          <w:bookmarkStart w:id="17" w:name="fig-nonlinear-model"/>
          <w:p>
            <w:pPr>
              <w:pStyle w:val="Compact"/>
              <w:jc w:val="center"/>
            </w:pPr>
            <w:r>
              <w:drawing>
                <wp:inline>
                  <wp:extent cx="4620126" cy="5544151"/>
                  <wp:effectExtent b="0" l="0" r="0" t="0"/>
                  <wp:docPr descr="" title="" id="15" name="Picture"/>
                  <a:graphic>
                    <a:graphicData uri="http://schemas.openxmlformats.org/drawingml/2006/picture">
                      <pic:pic>
                        <pic:nvPicPr>
                          <pic:cNvPr descr="25-results_files/figure-docx/fig-nonlinear-model-1.png" id="16" name="Picture"/>
                          <pic:cNvPicPr>
                            <a:picLocks noChangeArrowheads="1" noChangeAspect="1"/>
                          </pic:cNvPicPr>
                        </pic:nvPicPr>
                        <pic:blipFill>
                          <a:blip r:embed="rId14"/>
                          <a:stretch>
                            <a:fillRect/>
                          </a:stretch>
                        </pic:blipFill>
                        <pic:spPr bwMode="auto">
                          <a:xfrm>
                            <a:off x="0" y="0"/>
                            <a:ext cx="4620126" cy="554415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Non-linear first-order kinetic model fits for P desorption over time. Points represent measured data and solid lines represent the fitted model for each replicate.</w:t>
            </w:r>
          </w:p>
          <w:bookmarkEnd w:id="17"/>
        </w:tc>
      </w:tr>
    </w:tbl>
    <w:bookmarkEnd w:id="18"/>
    <w:bookmarkEnd w:id="19"/>
    <w:bookmarkStart w:id="29" w:name="X57c0e16474e0112c1b66bc31d7fcfca02c450f3"/>
    <w:p>
      <w:pPr>
        <w:pStyle w:val="Heading2"/>
      </w:pPr>
      <w:r>
        <w:t xml:space="preserve">1.2 Comparison with Isotopic Exchange Kinetics (IEK)</w:t>
      </w:r>
    </w:p>
    <w:p>
      <w:pPr>
        <w:pStyle w:val="FirstParagraph"/>
      </w:pPr>
      <w:r>
        <w:t xml:space="preserve">To validate the newly derived kinetic parameters against an established benchmark, the capacity (</w:t>
      </w:r>
      <m:oMath>
        <m:sSub>
          <m:e>
            <m:r>
              <m:t>P</m:t>
            </m:r>
          </m:e>
          <m:sub>
            <m:r>
              <m:t>d</m:t>
            </m:r>
            <m:r>
              <m:t>e</m:t>
            </m:r>
            <m:r>
              <m:t>s</m:t>
            </m:r>
            <m:r>
              <m:t>o</m:t>
            </m:r>
            <m:r>
              <m:t>r</m:t>
            </m:r>
            <m:r>
              <m:t>b</m:t>
            </m:r>
          </m:sub>
        </m:sSub>
      </m:oMath>
      <w:r>
        <w:t xml:space="preserve">) and kinetic (</w:t>
      </w:r>
      <m:oMath>
        <m:r>
          <m:t>k</m:t>
        </m:r>
      </m:oMath>
      <w:r>
        <w:t xml:space="preserve">) parameters were compared to data from Isotopic Exchange Kinetics (IEK) studies previously conducted on the same long-term trial sites by Demaria et al. (2013). This comparison aims to determine if the simpler, non-equilibrium desorption method used in this thesis captures similar aspects of soil P dynamics as the more complex, equilibrium-based IEK method.</w:t>
      </w:r>
    </w:p>
    <w:p>
      <w:pPr>
        <w:pStyle w:val="BodyText"/>
      </w:pPr>
      <w:r>
        <w:t xml:space="preserve">The size of the desorbable P pool (</w:t>
      </w:r>
      <m:oMath>
        <m:sSub>
          <m:e>
            <m:r>
              <m:t>P</m:t>
            </m:r>
          </m:e>
          <m:sub>
            <m:r>
              <m:t>d</m:t>
            </m:r>
            <m:r>
              <m:t>e</m:t>
            </m:r>
            <m:r>
              <m:t>s</m:t>
            </m:r>
            <m:r>
              <m:t>o</m:t>
            </m:r>
            <m:r>
              <m:t>r</m:t>
            </m:r>
            <m:r>
              <m:t>b</m:t>
            </m:r>
          </m:sub>
        </m:sSub>
      </m:oMath>
      <w:r>
        <w:t xml:space="preserve">) was compared against the long-term isotopically exchangeable P pool measured after 7 days (</w:t>
      </w:r>
      <m:oMath>
        <m:sSub>
          <m:e>
            <m:r>
              <m:t>E</m:t>
            </m:r>
          </m:e>
          <m:sub>
            <m:r>
              <m:t>7</m:t>
            </m:r>
            <m:r>
              <m:t>d</m:t>
            </m:r>
          </m:sub>
        </m:sSub>
      </m:oMath>
      <w:r>
        <w:t xml:space="preserve">). The desorption rate constant (</w:t>
      </w:r>
      <m:oMath>
        <m:r>
          <m:t>k</m:t>
        </m:r>
      </m:oMath>
      <w:r>
        <w:t xml:space="preserve">) was compared against the IEK kinetic parameter measured after 24 hours (</w:t>
      </w:r>
      <m:oMath>
        <m:sSub>
          <m:e>
            <m:r>
              <m:t>n</m:t>
            </m:r>
          </m:e>
          <m:sub>
            <m:r>
              <m:t>1</m:t>
            </m:r>
            <m:r>
              <m:t>d</m:t>
            </m:r>
          </m:sub>
        </m:sSub>
      </m:oMath>
      <w:r>
        <w:t xml:space="preserve">). Spearman’s rank correlation was used to robustly test for monotonic trends between the different methods.</w:t>
      </w:r>
    </w:p>
    <w:bookmarkStart w:id="28" w:name="fig-iek-comparison"/>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3" w:name="fig-iek-comparison-1"/>
                <w:p>
                  <w:pPr>
                    <w:pStyle w:val="Compact"/>
                    <w:jc w:val="center"/>
                    <w:jc w:val="left"/>
                  </w:pPr>
                  <w:r>
                    <w:drawing>
                      <wp:inline>
                        <wp:extent cx="2971800" cy="2377440"/>
                        <wp:effectExtent b="0" l="0" r="0" t="0"/>
                        <wp:docPr descr="" title="" id="21" name="Picture"/>
                        <a:graphic>
                          <a:graphicData uri="http://schemas.openxmlformats.org/drawingml/2006/picture">
                            <pic:pic>
                              <pic:nvPicPr>
                                <pic:cNvPr descr="25-results_files/figure-docx/fig-iek-comparison-1.png" id="22" name="Picture"/>
                                <pic:cNvPicPr>
                                  <a:picLocks noChangeArrowheads="1" noChangeAspect="1"/>
                                </pic:cNvPicPr>
                              </pic:nvPicPr>
                              <pic:blipFill>
                                <a:blip r:embed="rId20"/>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Capacity:</w:t>
                  </w:r>
                  <w:r>
                    <w:t xml:space="preserve"> </w:t>
                  </w:r>
                  <m:oMath>
                    <m:sSub>
                      <m:e>
                        <m:r>
                          <m:t>P</m:t>
                        </m:r>
                      </m:e>
                      <m:sub>
                        <m:r>
                          <m:rPr>
                            <m:nor/>
                            <m:sty m:val="p"/>
                          </m:rPr>
                          <m:t>desorb</m:t>
                        </m:r>
                      </m:sub>
                    </m:sSub>
                  </m:oMath>
                  <w:r>
                    <w:t xml:space="preserve"> </w:t>
                  </w:r>
                  <w:r>
                    <w:t xml:space="preserve">vs</w:t>
                  </w:r>
                  <w:r>
                    <w:t xml:space="preserve"> </w:t>
                  </w:r>
                  <m:oMath>
                    <m:sSub>
                      <m:e>
                        <m:r>
                          <m:t>E</m:t>
                        </m:r>
                      </m:e>
                      <m:sub>
                        <m:r>
                          <m:rPr>
                            <m:nor/>
                            <m:sty m:val="p"/>
                          </m:rPr>
                          <m:t>7d</m:t>
                        </m:r>
                      </m:sub>
                    </m:sSub>
                  </m:oMath>
                </w:p>
                <w:bookmarkEnd w:id="23"/>
              </w:tc>
            </w:tr>
          </w:tbl>
          <w:p/>
        </w:tc>
        <w:tc>
          <w:tcPr/>
          <w:tbl>
            <w:tblPr>
              <w:tblStyle w:val="Table"/>
              <w:tblW w:type="pct" w:w="4900"/>
              <w:tblLayout w:type="fixed"/>
              <w:tblLook w:firstRow="0" w:lastRow="0" w:firstColumn="0" w:lastColumn="0" w:noHBand="0" w:noVBand="0" w:val="0000"/>
            </w:tblPr>
            <w:tblGrid>
              <w:gridCol w:w="7761"/>
            </w:tblGrid>
            <w:tr>
              <w:tc>
                <w:tcPr/>
                <w:bookmarkStart w:id="27" w:name="fig-iek-comparison-2"/>
                <w:p>
                  <w:pPr>
                    <w:pStyle w:val="Compact"/>
                    <w:jc w:val="center"/>
                    <w:jc w:val="left"/>
                  </w:pPr>
                  <w:r>
                    <w:drawing>
                      <wp:inline>
                        <wp:extent cx="2971800" cy="2377440"/>
                        <wp:effectExtent b="0" l="0" r="0" t="0"/>
                        <wp:docPr descr="" title="" id="25" name="Picture"/>
                        <a:graphic>
                          <a:graphicData uri="http://schemas.openxmlformats.org/drawingml/2006/picture">
                            <pic:pic>
                              <pic:nvPicPr>
                                <pic:cNvPr descr="25-results_files/figure-docx/fig-iek-comparison-2.png" id="26" name="Picture"/>
                                <pic:cNvPicPr>
                                  <a:picLocks noChangeArrowheads="1" noChangeAspect="1"/>
                                </pic:cNvPicPr>
                              </pic:nvPicPr>
                              <pic:blipFill>
                                <a:blip r:embed="rId24"/>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Kinetics: k vs</w:t>
                  </w:r>
                  <w:r>
                    <w:t xml:space="preserve"> </w:t>
                  </w:r>
                  <m:oMath>
                    <m:sSub>
                      <m:e>
                        <m:r>
                          <m:t>n</m:t>
                        </m:r>
                      </m:e>
                      <m:sub>
                        <m:r>
                          <m:rPr>
                            <m:nor/>
                            <m:sty m:val="p"/>
                          </m:rPr>
                          <m:t>1d</m:t>
                        </m:r>
                      </m:sub>
                    </m:sSub>
                  </m:oMath>
                </w:p>
                <w:bookmarkEnd w:id="27"/>
              </w:tc>
            </w:tr>
          </w:tbl>
          <w:p/>
        </w:tc>
      </w:tr>
    </w:tbl>
    <w:p>
      <w:pPr>
        <w:pStyle w:val="BodyText"/>
      </w:pPr>
      <w:pPr>
        <w:spacing w:before="200"/>
        <w:pStyle w:val="ImageCaption"/>
      </w:pPr>
      <w:r>
        <w:t xml:space="preserve">Figure 3: Correlation between desorption-derived kinetic parameters and IEK-derived parameters. (A) Capacity parameters: Desorbable P (</w:t>
      </w:r>
      <m:oMath>
        <m:sSub>
          <m:e>
            <m:r>
              <m:t>P</m:t>
            </m:r>
          </m:e>
          <m:sub>
            <m:r>
              <m:rPr>
                <m:nor/>
                <m:sty m:val="p"/>
              </m:rPr>
              <m:t>desorb</m:t>
            </m:r>
          </m:sub>
        </m:sSub>
      </m:oMath>
      <w:r>
        <w:t xml:space="preserve">) vs. Isotopically Exchangeable P (</w:t>
      </w:r>
      <m:oMath>
        <m:sSub>
          <m:e>
            <m:r>
              <m:t>E</m:t>
            </m:r>
          </m:e>
          <m:sub>
            <m:r>
              <m:rPr>
                <m:nor/>
                <m:sty m:val="p"/>
              </m:rPr>
              <m:t>7d</m:t>
            </m:r>
          </m:sub>
        </m:sSub>
      </m:oMath>
      <w:r>
        <w:t xml:space="preserve">). (B) Kinetic parameters: Rate Constant (</w:t>
      </w:r>
      <m:oMath>
        <m:r>
          <m:t>k</m:t>
        </m:r>
      </m:oMath>
      <w:r>
        <w:t xml:space="preserve">) vs. IEK kinetic parameter (</w:t>
      </w:r>
      <m:oMath>
        <m:sSub>
          <m:e>
            <m:r>
              <m:t>n</m:t>
            </m:r>
          </m:e>
          <m:sub>
            <m:r>
              <m:rPr>
                <m:nor/>
                <m:sty m:val="p"/>
              </m:rPr>
              <m:t>1d</m:t>
            </m:r>
          </m:sub>
        </m:sSub>
      </m:oMath>
      <w:r>
        <w:t xml:space="preserve">).</w:t>
      </w:r>
    </w:p>
    <w:bookmarkEnd w:id="28"/>
    <w:p>
      <w:pPr>
        <w:pStyle w:val="BodyText"/>
      </w:pPr>
      <w:r>
        <w:t xml:space="preserve">The analysis revealed a statistically significant, moderate positive correlation between the capacity parameters,</w:t>
      </w:r>
      <w:r>
        <w:t xml:space="preserve"> </w:t>
      </w:r>
      <m:oMath>
        <m:sSub>
          <m:e>
            <m:r>
              <m:t>P</m:t>
            </m:r>
          </m:e>
          <m:sub>
            <m:r>
              <m:t>d</m:t>
            </m:r>
            <m:r>
              <m:t>e</m:t>
            </m:r>
            <m:r>
              <m:t>s</m:t>
            </m:r>
            <m:r>
              <m:t>o</m:t>
            </m:r>
            <m:r>
              <m:t>r</m:t>
            </m:r>
            <m:r>
              <m:t>b</m:t>
            </m:r>
          </m:sub>
        </m:sSub>
      </m:oMath>
      <w:r>
        <w:t xml:space="preserve"> </w:t>
      </w:r>
      <w:r>
        <w:t xml:space="preserve">and</w:t>
      </w:r>
      <w:r>
        <w:t xml:space="preserve"> </w:t>
      </w:r>
      <m:oMath>
        <m:sSub>
          <m:e>
            <m:r>
              <m:t>E</m:t>
            </m:r>
          </m:e>
          <m:sub>
            <m:r>
              <m:t>7</m:t>
            </m:r>
            <m:r>
              <m:t>d</m:t>
            </m:r>
          </m:sub>
        </m:sSub>
      </m:oMath>
      <w:r>
        <w:t xml:space="preserve"> </w:t>
      </w:r>
      <w:r>
        <w:t xml:space="preserve">(</w:t>
      </w:r>
      <w:hyperlink w:anchor="fig-iek-comparison">
        <w:r>
          <w:rPr>
            <w:rStyle w:val="Hyperlink"/>
          </w:rPr>
          <w:t xml:space="preserve">Figure 3</w:t>
        </w:r>
      </w:hyperlink>
      <w:r>
        <w:t xml:space="preserve">). The Spearman’s rank correlation coefficient was 0.4 with a p-value of &lt; 0.001.</w:t>
      </w:r>
    </w:p>
    <w:p>
      <w:pPr>
        <w:pStyle w:val="BodyText"/>
      </w:pPr>
      <w:r>
        <w:t xml:space="preserve">Similarly, a statistically significant, moderate positive correlation was found between the kinetic parameters,</w:t>
      </w:r>
      <w:r>
        <w:t xml:space="preserve"> </w:t>
      </w:r>
      <m:oMath>
        <m:r>
          <m:t>k</m:t>
        </m:r>
      </m:oMath>
      <w:r>
        <w:t xml:space="preserve"> </w:t>
      </w:r>
      <w:r>
        <w:t xml:space="preserve">and</w:t>
      </w:r>
      <w:r>
        <w:t xml:space="preserve"> </w:t>
      </w:r>
      <m:oMath>
        <m:sSub>
          <m:e>
            <m:r>
              <m:t>n</m:t>
            </m:r>
          </m:e>
          <m:sub>
            <m:r>
              <m:t>1</m:t>
            </m:r>
            <m:r>
              <m:t>d</m:t>
            </m:r>
          </m:sub>
        </m:sSub>
      </m:oMath>
      <w:r>
        <w:t xml:space="preserve"> </w:t>
      </w:r>
      <w:r>
        <w:t xml:space="preserve">(</w:t>
      </w:r>
      <w:hyperlink w:anchor="fig-iek-comparison">
        <w:r>
          <w:rPr>
            <w:rStyle w:val="Hyperlink"/>
          </w:rPr>
          <w:t xml:space="preserve">Figure 3</w:t>
        </w:r>
      </w:hyperlink>
      <w:r>
        <w:t xml:space="preserve">). The Spearman’s rank correlation coefficient was 0.36 with a p-value of &lt; 0.001.</w:t>
      </w:r>
    </w:p>
    <w:p>
      <w:pPr>
        <w:pStyle w:val="BodyText"/>
      </w:pPr>
      <w:r>
        <w:t xml:space="preserve">These results indicate that the simpler, non-equilibrium desorption method used in this study successfully captures both the capacity and intensity aspects of soil P lability, providing results that are consistent with the more complex, equilibrium-based IEK method reported by</w:t>
      </w:r>
      <w:r>
        <w:t xml:space="preserve"> </w:t>
      </w:r>
      <w:r>
        <w:t xml:space="preserve">(Demaria et al., 2013)</w:t>
      </w:r>
      <w:r>
        <w:t xml:space="preserve">.</w:t>
      </w:r>
    </w:p>
    <w:bookmarkEnd w:id="29"/>
    <w:bookmarkStart w:id="40" w:name="Xecaf9e4ead9471844934973fdc01e77ea889a2e"/>
    <w:p>
      <w:pPr>
        <w:pStyle w:val="Heading2"/>
      </w:pPr>
      <w:r>
        <w:t xml:space="preserve">1.3 Effects of Fertilization on Agronomic and Soil Parameters</w:t>
      </w:r>
    </w:p>
    <w:p>
      <w:pPr>
        <w:pStyle w:val="FirstParagraph"/>
      </w:pPr>
      <w:r>
        <w:t xml:space="preserve">Having established a robust method to determine the kinetic parameters, the next step was to explore the effects of the long-term P fertilization treatments on both the agronomic outcomes and the soil P test parameters.</w:t>
      </w:r>
    </w:p>
    <w:bookmarkStart w:id="34" w:name="X7766650a521c07025d9048e5b46ef5cbb460559"/>
    <w:p>
      <w:pPr>
        <w:pStyle w:val="Heading3"/>
      </w:pPr>
      <w:r>
        <w:t xml:space="preserve">1.3.1 Agronomic Responses to P Fertilization</w:t>
      </w:r>
    </w:p>
    <w:p>
      <w:pPr>
        <w:pStyle w:val="FirstParagraph"/>
      </w:pPr>
      <w:r>
        <w:t xml:space="preserve">The long-term application of different P fertilization levels had a pronounced impact on the primary agronomic outcomes, including two different metrics for yield, P Uptake (</w:t>
      </w:r>
      <m:oMath>
        <m:sSub>
          <m:e>
            <m:r>
              <m:t>P</m:t>
            </m:r>
          </m:e>
          <m:sub>
            <m:r>
              <m:t>u</m:t>
            </m:r>
            <m:r>
              <m:t>p</m:t>
            </m:r>
          </m:sub>
        </m:sSub>
      </m:oMath>
      <w:r>
        <w:t xml:space="preserve">), and P Balance (</w:t>
      </w:r>
      <m:oMath>
        <m:sSub>
          <m:e>
            <m:r>
              <m:t>P</m:t>
            </m:r>
          </m:e>
          <m:sub>
            <m:r>
              <m:t>b</m:t>
            </m:r>
            <m:r>
              <m:t>a</m:t>
            </m:r>
            <m:r>
              <m:t>l</m:t>
            </m:r>
          </m:sub>
        </m:sSub>
      </m:oMath>
      <w:r>
        <w:t xml:space="preserve">), though the response varied considerably between sites (</w:t>
      </w:r>
      <w:hyperlink w:anchor="fig-agronomic-responses">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agronomic-responses"/>
          <w:p>
            <w:pPr>
              <w:pStyle w:val="Compact"/>
              <w:jc w:val="center"/>
            </w:pPr>
            <w:r>
              <w:drawing>
                <wp:inline>
                  <wp:extent cx="4620126" cy="6468176"/>
                  <wp:effectExtent b="0" l="0" r="0" t="0"/>
                  <wp:docPr descr="" title="" id="31" name="Picture"/>
                  <a:graphic>
                    <a:graphicData uri="http://schemas.openxmlformats.org/drawingml/2006/picture">
                      <pic:pic>
                        <pic:nvPicPr>
                          <pic:cNvPr descr="25-results_files/figure-docx/fig-agronomic-responses-1.png" id="32" name="Picture"/>
                          <pic:cNvPicPr>
                            <a:picLocks noChangeArrowheads="1" noChangeAspect="1"/>
                          </pic:cNvPicPr>
                        </pic:nvPicPr>
                        <pic:blipFill>
                          <a:blip r:embed="rId30"/>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Agronomic response variables across six P fertilization treatments and six experimental sites. Data from 2017-2022.</w:t>
            </w:r>
          </w:p>
          <w:bookmarkEnd w:id="33"/>
        </w:tc>
      </w:tr>
    </w:tbl>
    <w:p>
      <w:pPr>
        <w:pStyle w:val="BodyText"/>
      </w:pPr>
      <w:r>
        <w:rPr>
          <w:b/>
          <w:bCs/>
        </w:rPr>
        <w:t xml:space="preserve">Yield Metrics (</w:t>
      </w:r>
      <m:oMath>
        <m:sSub>
          <m:e>
            <m:r>
              <m:t>Y</m:t>
            </m:r>
          </m:e>
          <m:sub>
            <m:r>
              <m:t>n</m:t>
            </m:r>
            <m:r>
              <m:t>o</m:t>
            </m:r>
            <m:r>
              <m:t>r</m:t>
            </m:r>
            <m:r>
              <m:t>m</m:t>
            </m:r>
          </m:sub>
        </m:sSub>
      </m:oMath>
      <w:r>
        <w:t xml:space="preserve"> </w:t>
      </w:r>
      <w:r>
        <w:t xml:space="preserve">and</w:t>
      </w:r>
      <w:r>
        <w:t xml:space="preserve"> </w:t>
      </w:r>
      <m:oMath>
        <m:sSub>
          <m:e>
            <m:r>
              <m:t>Y</m:t>
            </m:r>
          </m:e>
          <m:sub>
            <m:r>
              <m:t>r</m:t>
            </m:r>
            <m:r>
              <m:t>e</m:t>
            </m:r>
            <m:r>
              <m:t>l</m:t>
            </m:r>
          </m:sub>
        </m:sSub>
      </m:oMath>
      <w:r>
        <w:t xml:space="preserve">): Both yield metrics showed a generally positive response to P fertilization. The site-normalized yield (</w:t>
      </w:r>
      <m:oMath>
        <m:sSub>
          <m:e>
            <m:r>
              <m:t>Y</m:t>
            </m:r>
          </m:e>
          <m:sub>
            <m:r>
              <m:t>n</m:t>
            </m:r>
            <m:r>
              <m:t>o</m:t>
            </m:r>
            <m:r>
              <m:t>r</m:t>
            </m:r>
            <m:r>
              <m:t>m</m:t>
            </m:r>
          </m:sub>
        </m:sSub>
      </m:oMath>
      <w:r>
        <w:t xml:space="preserve">) shows the response relative to the site’s potential for that year, with most yields plateauing around the Norm (100%) treatment. The national-normalized yield (</w:t>
      </w:r>
      <m:oMath>
        <m:sSub>
          <m:e>
            <m:r>
              <m:t>Y</m:t>
            </m:r>
          </m:e>
          <m:sub>
            <m:r>
              <m:t>r</m:t>
            </m:r>
            <m:r>
              <m:t>e</m:t>
            </m:r>
            <m:r>
              <m:t>l</m:t>
            </m:r>
          </m:sub>
        </m:sSub>
      </m:oMath>
      <w:r>
        <w:t xml:space="preserve">) provides a broader context, showing how yields at each site compare to the national average.</w:t>
      </w:r>
    </w:p>
    <w:p>
      <w:pPr>
        <w:pStyle w:val="BodyText"/>
      </w:pPr>
      <w:r>
        <w:rPr>
          <w:b/>
          <w:bCs/>
        </w:rPr>
        <w:t xml:space="preserve">P Uptake (</w:t>
      </w:r>
      <m:oMath>
        <m:sSub>
          <m:e>
            <m:r>
              <m:t>P</m:t>
            </m:r>
          </m:e>
          <m:sub>
            <m:r>
              <m:t>u</m:t>
            </m:r>
            <m:r>
              <m:t>p</m:t>
            </m:r>
          </m:sub>
        </m:sSub>
      </m:oMath>
      <w:r>
        <w:t xml:space="preserve">): P uptake by crops followed a similar trend to yield, increasing with fertilization, often continuing to increase at the highest fertilization levels, suggesting luxury consumption.</w:t>
      </w:r>
    </w:p>
    <w:p>
      <w:pPr>
        <w:pStyle w:val="BodyText"/>
      </w:pPr>
      <w:r>
        <w:rPr>
          <w:b/>
          <w:bCs/>
        </w:rPr>
        <w:t xml:space="preserve">P Balance (</w:t>
      </w:r>
      <m:oMath>
        <m:sSub>
          <m:e>
            <m:r>
              <m:t>P</m:t>
            </m:r>
          </m:e>
          <m:sub>
            <m:r>
              <m:t>b</m:t>
            </m:r>
            <m:r>
              <m:t>a</m:t>
            </m:r>
            <m:r>
              <m:t>l</m:t>
            </m:r>
          </m:sub>
        </m:sSub>
      </m:oMath>
      <w:r>
        <w:t xml:space="preserve">): The P balance showed a strong, linear relationship with fertilization. The Zero and Deficit treatments resulted in a negative balance (mining soil P), while the Elevated and Surplus treatments led to a significant P surplus.</w:t>
      </w:r>
    </w:p>
    <w:bookmarkEnd w:id="34"/>
    <w:bookmarkStart w:id="39" w:name="Xf1b1c7e5b0bdd9bd952a6bec2c8d4ca508e5273"/>
    <w:p>
      <w:pPr>
        <w:pStyle w:val="Heading3"/>
      </w:pPr>
      <w:r>
        <w:t xml:space="preserve">1.3.2 Soil P Parameters as a Function of P Fertilization</w:t>
      </w:r>
    </w:p>
    <w:p>
      <w:pPr>
        <w:pStyle w:val="FirstParagraph"/>
      </w:pPr>
      <w:r>
        <w:t xml:space="preserve">The different soil P test parameters, including the standard STP methods and the newly derived kinetic parameters, all responded to the long-term fertilization treatments (</w:t>
      </w:r>
      <w:hyperlink w:anchor="fig-soil-parameters">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soil-parameters"/>
          <w:p>
            <w:pPr>
              <w:pStyle w:val="Compact"/>
              <w:jc w:val="center"/>
            </w:pPr>
            <w:r>
              <w:drawing>
                <wp:inline>
                  <wp:extent cx="4620126" cy="6468176"/>
                  <wp:effectExtent b="0" l="0" r="0" t="0"/>
                  <wp:docPr descr="" title="" id="36" name="Picture"/>
                  <a:graphic>
                    <a:graphicData uri="http://schemas.openxmlformats.org/drawingml/2006/picture">
                      <pic:pic>
                        <pic:nvPicPr>
                          <pic:cNvPr descr="25-results_files/figure-docx/fig-soil-parameters-1.png" id="37" name="Picture"/>
                          <pic:cNvPicPr>
                            <a:picLocks noChangeArrowheads="1" noChangeAspect="1"/>
                          </pic:cNvPicPr>
                        </pic:nvPicPr>
                        <pic:blipFill>
                          <a:blip r:embed="rId35"/>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Soil P parameters across six P fertilization treatments and six experimental sites.</w:t>
            </w:r>
          </w:p>
          <w:bookmarkEnd w:id="38"/>
        </w:tc>
      </w:tr>
    </w:tbl>
    <w:p>
      <w:pPr>
        <w:pStyle w:val="BodyText"/>
      </w:pPr>
      <w:r>
        <w:rPr>
          <w:b/>
          <w:bCs/>
        </w:rPr>
        <w:t xml:space="preserve">Standard STPs (</w:t>
      </w:r>
      <m:oMath>
        <m:sSub>
          <m:e>
            <m:r>
              <m:t>P</m:t>
            </m:r>
          </m:e>
          <m:sub>
            <m:r>
              <m:t>C</m:t>
            </m:r>
            <m:sSub>
              <m:e>
                <m:r>
                  <m:t>O</m:t>
                </m:r>
              </m:e>
              <m:sub>
                <m:r>
                  <m:t>2</m:t>
                </m:r>
              </m:sub>
            </m:sSub>
          </m:sub>
        </m:sSub>
      </m:oMath>
      <w:r>
        <w:t xml:space="preserve"> </w:t>
      </w:r>
      <w:r>
        <w:t xml:space="preserve">and</w:t>
      </w:r>
      <w:r>
        <w:t xml:space="preserve"> </w:t>
      </w:r>
      <m:oMath>
        <m:sSub>
          <m:e>
            <m:r>
              <m:t>P</m:t>
            </m:r>
          </m:e>
          <m:sub>
            <m:r>
              <m:t>A</m:t>
            </m:r>
            <m:r>
              <m:t>A</m:t>
            </m:r>
            <m:r>
              <m:t>E</m:t>
            </m:r>
            <m:r>
              <m:t>10</m:t>
            </m:r>
          </m:sub>
        </m:sSub>
      </m:oMath>
      <w:r>
        <w:t xml:space="preserve">): Both standard soil P tests showed a clear and consistent increase with rising P fertilization levels across all sites, confirming their sensitivity to management.</w:t>
      </w:r>
    </w:p>
    <w:p>
      <w:pPr>
        <w:pStyle w:val="BodyText"/>
      </w:pPr>
      <w:r>
        <w:rPr>
          <w:b/>
          <w:bCs/>
        </w:rPr>
        <w:t xml:space="preserve">Kinetic Parameters (</w:t>
      </w:r>
      <m:oMath>
        <m:r>
          <m:t>k</m:t>
        </m:r>
      </m:oMath>
      <w:r>
        <w:t xml:space="preserve">,</w:t>
      </w:r>
      <w:r>
        <w:t xml:space="preserve"> </w:t>
      </w:r>
      <m:oMath>
        <m:sSub>
          <m:e>
            <m:r>
              <m:t>P</m:t>
            </m:r>
          </m:e>
          <m:sub>
            <m:r>
              <m:t>d</m:t>
            </m:r>
            <m:r>
              <m:t>e</m:t>
            </m:r>
            <m:r>
              <m:t>s</m:t>
            </m:r>
            <m:r>
              <m:t>o</m:t>
            </m:r>
            <m:r>
              <m:t>r</m:t>
            </m:r>
            <m:r>
              <m:t>b</m:t>
            </m:r>
          </m:sub>
        </m:sSub>
      </m:oMath>
      <w:r>
        <w:t xml:space="preserve">, and</w:t>
      </w:r>
      <w:r>
        <w:t xml:space="preserve"> </w:t>
      </w:r>
      <m:oMath>
        <m:sSub>
          <m:e>
            <m:r>
              <m:t>J</m:t>
            </m:r>
          </m:e>
          <m:sub>
            <m:r>
              <m:t>0</m:t>
            </m:r>
          </m:sub>
        </m:sSub>
      </m:oMath>
      <w:r>
        <w:t xml:space="preserve">):</w:t>
      </w:r>
      <w:r>
        <w:t xml:space="preserve"> </w:t>
      </w:r>
      <w:r>
        <w:rPr>
          <w:b/>
          <w:bCs/>
        </w:rPr>
        <w:t xml:space="preserve">Desorbable P (</w:t>
      </w:r>
      <m:oMath>
        <m:sSub>
          <m:e>
            <m:r>
              <m:t>P</m:t>
            </m:r>
          </m:e>
          <m:sub>
            <m:r>
              <m:t>d</m:t>
            </m:r>
            <m:r>
              <m:t>e</m:t>
            </m:r>
            <m:r>
              <m:t>s</m:t>
            </m:r>
            <m:r>
              <m:t>o</m:t>
            </m:r>
            <m:r>
              <m:t>r</m:t>
            </m:r>
            <m:r>
              <m:t>b</m:t>
            </m:r>
          </m:sub>
        </m:sSub>
      </m:oMath>
      <w:r>
        <w:t xml:space="preserve">): This parameter behaved very similarly to the standard STPs, increasing steadily with P fertilization and confirming its role as a</w:t>
      </w:r>
      <w:r>
        <w:t xml:space="preserve"> </w:t>
      </w:r>
      <w:r>
        <w:t xml:space="preserve">“capacity”</w:t>
      </w:r>
      <w:r>
        <w:t xml:space="preserve"> </w:t>
      </w:r>
      <w:r>
        <w:t xml:space="preserve">indicator.</w:t>
      </w:r>
      <w:r>
        <w:br/>
      </w:r>
      <w:r>
        <w:rPr>
          <w:b/>
          <w:bCs/>
        </w:rPr>
        <w:t xml:space="preserve">Rate Constant (</w:t>
      </w:r>
      <m:oMath>
        <m:r>
          <m:t>k</m:t>
        </m:r>
      </m:oMath>
      <w:r>
        <w:t xml:space="preserve">): The rate constant showed a more complex pattern, with no strong, consistent trend with fertilization. This suggests that while fertilization increases the</w:t>
      </w:r>
      <w:r>
        <w:t xml:space="preserve"> </w:t>
      </w:r>
      <w:r>
        <w:rPr>
          <w:i/>
          <w:iCs/>
        </w:rPr>
        <w:t xml:space="preserve">amount</w:t>
      </w:r>
      <w:r>
        <w:t xml:space="preserve"> </w:t>
      </w:r>
      <w:r>
        <w:t xml:space="preserve">of available P, it may not change the intrinsic</w:t>
      </w:r>
      <w:r>
        <w:t xml:space="preserve"> </w:t>
      </w:r>
      <w:r>
        <w:rPr>
          <w:i/>
          <w:iCs/>
        </w:rPr>
        <w:t xml:space="preserve">release rate</w:t>
      </w:r>
      <w:r>
        <w:t xml:space="preserve">.</w:t>
      </w:r>
      <w:r>
        <w:t xml:space="preserve"> </w:t>
      </w:r>
      <w:r>
        <w:rPr>
          <w:b/>
          <w:bCs/>
        </w:rPr>
        <w:t xml:space="preserve">Initial P Flux (</w:t>
      </w:r>
      <m:oMath>
        <m:sSub>
          <m:e>
            <m:r>
              <m:t>J</m:t>
            </m:r>
          </m:e>
          <m:sub>
            <m:r>
              <m:t>0</m:t>
            </m:r>
          </m:sub>
        </m:sSub>
      </m:oMath>
      <w:r>
        <w:t xml:space="preserve">): As the product of</w:t>
      </w:r>
      <w:r>
        <w:t xml:space="preserve"> </w:t>
      </w:r>
      <m:oMath>
        <m:sSub>
          <m:e>
            <m:r>
              <m:t>P</m:t>
            </m:r>
          </m:e>
          <m:sub>
            <m:r>
              <m:t>d</m:t>
            </m:r>
            <m:r>
              <m:t>e</m:t>
            </m:r>
            <m:r>
              <m:t>s</m:t>
            </m:r>
            <m:r>
              <m:t>o</m:t>
            </m:r>
            <m:r>
              <m:t>r</m:t>
            </m:r>
            <m:r>
              <m:t>b</m:t>
            </m:r>
          </m:sub>
        </m:sSub>
      </m:oMath>
      <w:r>
        <w:t xml:space="preserve"> </w:t>
      </w:r>
      <w:r>
        <w:t xml:space="preserve">and</w:t>
      </w:r>
      <w:r>
        <w:t xml:space="preserve"> </w:t>
      </w:r>
      <m:oMath>
        <m:r>
          <m:t>k</m:t>
        </m:r>
      </m:oMath>
      <w:r>
        <w:t xml:space="preserve">, this parameter integrates both capacity and intensity. It showed a strong positive response to fertilization, driven primarily by the increase in</w:t>
      </w:r>
      <w:r>
        <w:t xml:space="preserve"> </w:t>
      </w:r>
      <m:oMath>
        <m:sSub>
          <m:e>
            <m:r>
              <m:t>P</m:t>
            </m:r>
          </m:e>
          <m:sub>
            <m:r>
              <m:t>d</m:t>
            </m:r>
            <m:r>
              <m:t>e</m:t>
            </m:r>
            <m:r>
              <m:t>s</m:t>
            </m:r>
            <m:r>
              <m:t>o</m:t>
            </m:r>
            <m:r>
              <m:t>r</m:t>
            </m:r>
            <m:r>
              <m:t>b</m:t>
            </m:r>
          </m:sub>
        </m:sSub>
      </m:oMath>
      <w:r>
        <w:t xml:space="preserve">.</w:t>
      </w:r>
    </w:p>
    <w:p>
      <w:pPr>
        <w:pStyle w:val="BodyText"/>
      </w:pPr>
      <w:r>
        <w:t xml:space="preserve">These initial observations suggest that the kinetic parameters, particularly the rate constant</w:t>
      </w:r>
      <w:r>
        <w:t xml:space="preserve"> </w:t>
      </w:r>
      <m:oMath>
        <m:r>
          <m:t>k</m:t>
        </m:r>
      </m:oMath>
      <w:r>
        <w:t xml:space="preserve">, may provide unique information about the soil’s P dynamics not captured by the static tests P-CO2 and P-AAE10 alone. The next section will use formal statistical models to test these relationships.</w:t>
      </w:r>
    </w:p>
    <w:bookmarkEnd w:id="39"/>
    <w:bookmarkEnd w:id="40"/>
    <w:bookmarkStart w:id="42" w:name="sec-p-params-soil-props"/>
    <w:p>
      <w:pPr>
        <w:pStyle w:val="Heading2"/>
      </w:pPr>
      <w:r>
        <w:t xml:space="preserve">1.4 Predicting P Parameters from Soil Properties</w:t>
      </w:r>
    </w:p>
    <w:p>
      <w:pPr>
        <w:pStyle w:val="FirstParagraph"/>
      </w:pPr>
      <w:r>
        <w:t xml:space="preserve">To understand the underlying drivers of the standard and kinetic P parameters, and to test</w:t>
      </w:r>
      <w:r>
        <w:t xml:space="preserve"> </w:t>
      </w:r>
      <w:r>
        <w:rPr>
          <w:b/>
          <w:bCs/>
        </w:rPr>
        <w:t xml:space="preserve">Hypotheses 1b and 2b</w:t>
      </w:r>
      <w:r>
        <w:t xml:space="preserve">, a series of linear mixed-effects models were fitted. Each model predicted one of the P parameters based on the core soil properties: organic carbon (</w:t>
      </w:r>
      <m:oMath>
        <m:sSub>
          <m:e>
            <m:r>
              <m:t>C</m:t>
            </m:r>
          </m:e>
          <m:sub>
            <m:r>
              <m:t>o</m:t>
            </m:r>
            <m:r>
              <m:t>r</m:t>
            </m:r>
            <m:r>
              <m:t>g</m:t>
            </m:r>
          </m:sub>
        </m:sSub>
      </m:oMath>
      <w:r>
        <w:t xml:space="preserve">), clay content, silt content, pH, and dithionite-extractable Al (</w:t>
      </w:r>
      <m:oMath>
        <m:r>
          <m:t>A</m:t>
        </m:r>
        <m:sSub>
          <m:e>
            <m:r>
              <m:t>l</m:t>
            </m:r>
          </m:e>
          <m:sub>
            <m:r>
              <m:t>d</m:t>
            </m:r>
          </m:sub>
        </m:sSub>
      </m:oMath>
      <w:r>
        <w:t xml:space="preserve">) and Fe (</w:t>
      </w:r>
      <m:oMath>
        <m:r>
          <m:t>F</m:t>
        </m:r>
        <m:sSub>
          <m:e>
            <m:r>
              <m:t>e</m:t>
            </m:r>
          </m:e>
          <m:sub>
            <m:r>
              <m:t>d</m:t>
            </m:r>
          </m:sub>
        </m:sSub>
      </m:oMath>
      <w:r>
        <w:t xml:space="preserve">). The results are summarized in</w:t>
      </w:r>
      <w:r>
        <w:t xml:space="preserve"> </w:t>
      </w:r>
      <w:hyperlink w:anchor="tbl-soil-prop-model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tbl-soil-prop-models"/>
          <w:p>
            <w:pPr>
              <w:jc w:val="center"/>
            </w:pPr>
            <w:pPr>
              <w:jc w:val="left"/>
              <w:spacing w:before="200"/>
              <w:pStyle w:val="ImageCaption"/>
            </w:pPr>
            <w:r>
              <w:t xml:space="preserve">Table 1: Results of linear mixed-effects models predicting P parameters from intrinsic soil properties</w:t>
            </w:r>
            <w:r>
              <w:t xml:space="preserve"> </w:t>
            </w:r>
            <w:r>
              <w:rPr>
                <w:b/>
                <w:bCs/>
              </w:rPr>
              <w:t xml:space="preserve">?@tbl-variables</w:t>
            </w:r>
            <w:r>
              <w:t xml:space="preserve">. Significance codes:</w:t>
            </w:r>
            <w:r>
              <w:t xml:space="preserve"> </w:t>
            </w:r>
            <w:r>
              <w:t xml:space="preserve">‘</w:t>
            </w:r>
            <w:r>
              <w:rPr>
                <w:b/>
                <w:bCs/>
                <w:i/>
                <w:iCs/>
              </w:rPr>
              <w:t xml:space="preserve">’ p &lt; 0.001, ’</w:t>
            </w:r>
            <w:r>
              <w:rPr>
                <w:i/>
                <w:iCs/>
              </w:rPr>
              <w:t xml:space="preserve">’ p &lt; 0.01, ’</w:t>
            </w:r>
            <w:r>
              <w:t xml:space="preserve">’</w:t>
            </w:r>
            <w:r>
              <w:t xml:space="preserve"> </w:t>
            </w:r>
            <w:r>
              <w:t xml:space="preserve">p &lt; 0.05.</w:t>
            </w:r>
          </w:p>
          <w:tbl>
            <w:tblPr>
              <w:tblStyle w:val="Table"/>
              <w:tblW w:type="pct" w:w="5000"/>
              <w:tblLayout w:type="fixed"/>
              <w:tblLook w:firstRow="1" w:lastRow="0" w:firstColumn="0" w:lastColumn="0" w:noHBand="0" w:noVBand="0" w:val="0020"/>
            </w:tblPr>
            <w:tblGrid>
              <w:gridCol w:w="1200"/>
              <w:gridCol w:w="1560"/>
              <w:gridCol w:w="1200"/>
              <w:gridCol w:w="1200"/>
              <w:gridCol w:w="1320"/>
              <w:gridCol w:w="1440"/>
            </w:tblGrid>
            <w:tr>
              <w:trPr>
                <w:tblHeader w:val="on"/>
              </w:trPr>
              <w:tc>
                <w:tcPr/>
                <w:p>
                  <w:pPr>
                    <w:pStyle w:val="Compact"/>
                    <w:jc w:val="left"/>
                    <w:jc w:val="center"/>
                  </w:pPr>
                  <w:r>
                    <w:t xml:space="preserve">Predictor</w:t>
                  </w:r>
                </w:p>
              </w:tc>
              <w:tc>
                <w:tcPr/>
                <w:p>
                  <w:pPr>
                    <w:pStyle w:val="Compact"/>
                    <w:jc w:val="left"/>
                    <w:jc w:val="center"/>
                  </w:pPr>
                  <m:oMath>
                    <m:sSub>
                      <m:e>
                        <m:r>
                          <m:t>P</m:t>
                        </m:r>
                      </m:e>
                      <m:sub>
                        <m:r>
                          <m:t>d</m:t>
                        </m:r>
                        <m:r>
                          <m:t>e</m:t>
                        </m:r>
                        <m:r>
                          <m:t>s</m:t>
                        </m:r>
                        <m:r>
                          <m:t>o</m:t>
                        </m:r>
                        <m:r>
                          <m:t>r</m:t>
                        </m:r>
                        <m:r>
                          <m:t>b</m:t>
                        </m:r>
                      </m:sub>
                    </m:sSub>
                  </m:oMath>
                </w:p>
              </w:tc>
              <w:tc>
                <w:tcPr/>
                <w:p>
                  <w:pPr>
                    <w:pStyle w:val="Compact"/>
                    <w:jc w:val="left"/>
                    <w:jc w:val="center"/>
                  </w:pPr>
                  <m:oMath>
                    <m:r>
                      <m:t>k</m:t>
                    </m:r>
                  </m:oMath>
                </w:p>
              </w:tc>
              <w:tc>
                <w:tcPr/>
                <w:p>
                  <w:pPr>
                    <w:pStyle w:val="Compact"/>
                    <w:jc w:val="left"/>
                    <w:jc w:val="center"/>
                  </w:pPr>
                  <m:oMath>
                    <m:sSub>
                      <m:e>
                        <m:r>
                          <m:t>J</m:t>
                        </m:r>
                      </m:e>
                      <m:sub>
                        <m:r>
                          <m:t>0</m:t>
                        </m:r>
                      </m:sub>
                    </m:sSub>
                  </m:oMath>
                </w:p>
              </w:tc>
              <w:tc>
                <w:tcPr/>
                <w:p>
                  <w:pPr>
                    <w:pStyle w:val="Compact"/>
                    <w:jc w:val="left"/>
                    <w:jc w:val="center"/>
                  </w:pPr>
                  <m:oMath>
                    <m:sSub>
                      <m:e>
                        <m:r>
                          <m:t>P</m:t>
                        </m:r>
                      </m:e>
                      <m:sub>
                        <m:r>
                          <m:t>C</m:t>
                        </m:r>
                        <m:sSub>
                          <m:e>
                            <m:r>
                              <m:t>O</m:t>
                            </m:r>
                          </m:e>
                          <m:sub>
                            <m:r>
                              <m:t>2</m:t>
                            </m:r>
                          </m:sub>
                        </m:sSub>
                      </m:sub>
                    </m:sSub>
                  </m:oMath>
                </w:p>
              </w:tc>
              <w:tc>
                <w:tcPr/>
                <w:p>
                  <w:pPr>
                    <w:pStyle w:val="Compact"/>
                    <w:jc w:val="left"/>
                    <w:jc w:val="center"/>
                  </w:pPr>
                  <m:oMath>
                    <m:sSub>
                      <m:e>
                        <m:r>
                          <m:t>P</m:t>
                        </m:r>
                      </m:e>
                      <m:sub>
                        <m:r>
                          <m:t>A</m:t>
                        </m:r>
                        <m:r>
                          <m:t>A</m:t>
                        </m:r>
                        <m:r>
                          <m:t>E</m:t>
                        </m:r>
                        <m:r>
                          <m:t>10</m:t>
                        </m:r>
                      </m:sub>
                    </m:sSub>
                  </m:oMath>
                </w:p>
              </w:tc>
            </w:tr>
            <w:tr>
              <w:tc>
                <w:tcPr/>
                <w:p>
                  <w:pPr>
                    <w:pStyle w:val="Compact"/>
                    <w:jc w:val="left"/>
                    <w:jc w:val="center"/>
                  </w:pPr>
                  <w:r>
                    <w:t xml:space="preserve">Intercept</w:t>
                  </w:r>
                </w:p>
              </w:tc>
              <w:tc>
                <w:tcPr/>
                <w:p>
                  <w:pPr>
                    <w:pStyle w:val="Compact"/>
                    <w:jc w:val="left"/>
                    <w:jc w:val="center"/>
                  </w:pPr>
                  <w:r>
                    <w:t xml:space="preserve">21.444</w:t>
                  </w:r>
                </w:p>
              </w:tc>
              <w:tc>
                <w:tcPr/>
                <w:p>
                  <w:pPr>
                    <w:pStyle w:val="Compact"/>
                    <w:jc w:val="left"/>
                    <w:jc w:val="center"/>
                  </w:pPr>
                  <w:r>
                    <w:t xml:space="preserve">0.454</w:t>
                  </w:r>
                </w:p>
              </w:tc>
              <w:tc>
                <w:tcPr/>
                <w:p>
                  <w:pPr>
                    <w:pStyle w:val="Compact"/>
                    <w:jc w:val="left"/>
                    <w:jc w:val="center"/>
                  </w:pPr>
                  <w:r>
                    <w:t xml:space="preserve">21.189</w:t>
                  </w:r>
                </w:p>
              </w:tc>
              <w:tc>
                <w:tcPr/>
                <w:p>
                  <w:pPr>
                    <w:pStyle w:val="Compact"/>
                    <w:jc w:val="left"/>
                    <w:jc w:val="center"/>
                  </w:pPr>
                  <w:r>
                    <w:t xml:space="preserve">14.014</w:t>
                  </w:r>
                </w:p>
              </w:tc>
              <w:tc>
                <w:tcPr/>
                <w:p>
                  <w:pPr>
                    <w:pStyle w:val="Compact"/>
                    <w:jc w:val="left"/>
                    <w:jc w:val="center"/>
                  </w:pPr>
                  <w:r>
                    <w:t xml:space="preserve">23.126</w:t>
                  </w:r>
                </w:p>
              </w:tc>
            </w:tr>
            <w:tr>
              <w:tc>
                <w:tcPr/>
                <w:p>
                  <w:pPr>
                    <w:pStyle w:val="Compact"/>
                    <w:jc w:val="left"/>
                    <w:jc w:val="center"/>
                  </w:pPr>
                  <m:oMath>
                    <m:r>
                      <m:t>A</m:t>
                    </m:r>
                    <m:sSub>
                      <m:e>
                        <m:r>
                          <m:t>l</m:t>
                        </m:r>
                      </m:e>
                      <m:sub>
                        <m:r>
                          <m:t>d</m:t>
                        </m:r>
                      </m:sub>
                    </m:sSub>
                  </m:oMath>
                </w:p>
              </w:tc>
              <w:tc>
                <w:tcPr/>
                <w:p>
                  <w:pPr>
                    <w:pStyle w:val="Compact"/>
                    <w:jc w:val="left"/>
                    <w:jc w:val="center"/>
                  </w:pPr>
                  <w:r>
                    <w:t xml:space="preserve">-8.706***</w:t>
                  </w:r>
                </w:p>
              </w:tc>
              <w:tc>
                <w:tcPr/>
                <w:p>
                  <w:pPr>
                    <w:pStyle w:val="Compact"/>
                    <w:jc w:val="left"/>
                    <w:jc w:val="center"/>
                  </w:pPr>
                  <w:r>
                    <w:t xml:space="preserve">-0.072***</w:t>
                  </w:r>
                </w:p>
              </w:tc>
              <w:tc>
                <w:tcPr/>
                <w:p>
                  <w:pPr>
                    <w:pStyle w:val="Compact"/>
                    <w:jc w:val="left"/>
                    <w:jc w:val="center"/>
                  </w:pPr>
                  <w:r>
                    <w:t xml:space="preserve">-8.631***</w:t>
                  </w:r>
                </w:p>
              </w:tc>
              <w:tc>
                <w:tcPr/>
                <w:p>
                  <w:pPr>
                    <w:pStyle w:val="Compact"/>
                    <w:jc w:val="left"/>
                    <w:jc w:val="center"/>
                  </w:pPr>
                  <w:r>
                    <w:t xml:space="preserve">-4.417***</w:t>
                  </w:r>
                </w:p>
              </w:tc>
              <w:tc>
                <w:tcPr/>
                <w:p>
                  <w:pPr>
                    <w:pStyle w:val="Compact"/>
                    <w:jc w:val="left"/>
                    <w:jc w:val="center"/>
                  </w:pPr>
                  <w:r>
                    <w:t xml:space="preserve">-9.473***</w:t>
                  </w:r>
                </w:p>
              </w:tc>
            </w:tr>
            <w:tr>
              <w:tc>
                <w:tcPr/>
                <w:p>
                  <w:pPr>
                    <w:pStyle w:val="Compact"/>
                    <w:jc w:val="left"/>
                    <w:jc w:val="center"/>
                  </w:pPr>
                  <m:oMath>
                    <m:r>
                      <m:t>F</m:t>
                    </m:r>
                    <m:sSub>
                      <m:e>
                        <m:r>
                          <m:t>e</m:t>
                        </m:r>
                      </m:e>
                      <m:sub>
                        <m:r>
                          <m:t>d</m:t>
                        </m:r>
                      </m:sub>
                    </m:sSub>
                  </m:oMath>
                </w:p>
              </w:tc>
              <w:tc>
                <w:tcPr/>
                <w:p>
                  <w:pPr>
                    <w:pStyle w:val="Compact"/>
                    <w:jc w:val="left"/>
                    <w:jc w:val="center"/>
                  </w:pPr>
                  <w:r>
                    <w:t xml:space="preserve">-1.068***</w:t>
                  </w:r>
                </w:p>
              </w:tc>
              <w:tc>
                <w:tcPr/>
                <w:p>
                  <w:pPr>
                    <w:pStyle w:val="Compact"/>
                    <w:jc w:val="left"/>
                    <w:jc w:val="center"/>
                  </w:pPr>
                  <w:r>
                    <w:t xml:space="preserve">0.005</w:t>
                  </w:r>
                </w:p>
              </w:tc>
              <w:tc>
                <w:tcPr/>
                <w:p>
                  <w:pPr>
                    <w:pStyle w:val="Compact"/>
                    <w:jc w:val="left"/>
                    <w:jc w:val="center"/>
                  </w:pPr>
                  <w:r>
                    <w:t xml:space="preserve">-1.084***</w:t>
                  </w:r>
                </w:p>
              </w:tc>
              <w:tc>
                <w:tcPr/>
                <w:p>
                  <w:pPr>
                    <w:pStyle w:val="Compact"/>
                    <w:jc w:val="left"/>
                    <w:jc w:val="center"/>
                  </w:pPr>
                  <w:r>
                    <w:t xml:space="preserve">-0.845***</w:t>
                  </w:r>
                </w:p>
              </w:tc>
              <w:tc>
                <w:tcPr/>
                <w:p>
                  <w:pPr>
                    <w:pStyle w:val="Compact"/>
                    <w:jc w:val="left"/>
                    <w:jc w:val="center"/>
                  </w:pPr>
                  <w:r>
                    <w:t xml:space="preserve">-0.606***</w:t>
                  </w:r>
                </w:p>
              </w:tc>
            </w:tr>
            <w:tr>
              <w:tc>
                <w:tcPr/>
                <w:p>
                  <w:pPr>
                    <w:pStyle w:val="Compact"/>
                    <w:jc w:val="left"/>
                    <w:jc w:val="center"/>
                  </w:pPr>
                  <w:r>
                    <w:t xml:space="preserve">Clay</w:t>
                  </w:r>
                </w:p>
              </w:tc>
              <w:tc>
                <w:tcPr/>
                <w:p>
                  <w:pPr>
                    <w:pStyle w:val="Compact"/>
                    <w:jc w:val="left"/>
                    <w:jc w:val="center"/>
                  </w:pPr>
                  <w:r>
                    <w:t xml:space="preserve">-0.006***</w:t>
                  </w:r>
                </w:p>
              </w:tc>
              <w:tc>
                <w:tcPr/>
                <w:p>
                  <w:pPr>
                    <w:pStyle w:val="Compact"/>
                    <w:jc w:val="left"/>
                    <w:jc w:val="center"/>
                  </w:pPr>
                  <w:r>
                    <w:t xml:space="preserve">-0.016***</w:t>
                  </w:r>
                </w:p>
              </w:tc>
              <w:tc>
                <w:tcPr/>
                <w:p>
                  <w:pPr>
                    <w:pStyle w:val="Compact"/>
                    <w:jc w:val="left"/>
                    <w:jc w:val="center"/>
                  </w:pPr>
                  <w:r>
                    <w:t xml:space="preserve">-0.085***</w:t>
                  </w:r>
                </w:p>
              </w:tc>
              <w:tc>
                <w:tcPr/>
                <w:p>
                  <w:pPr>
                    <w:pStyle w:val="Compact"/>
                    <w:jc w:val="left"/>
                    <w:jc w:val="center"/>
                  </w:pPr>
                  <w:r>
                    <w:t xml:space="preserve">0.015</w:t>
                  </w:r>
                </w:p>
              </w:tc>
              <w:tc>
                <w:tcPr/>
                <w:p>
                  <w:pPr>
                    <w:pStyle w:val="Compact"/>
                    <w:jc w:val="left"/>
                    <w:jc w:val="center"/>
                  </w:pPr>
                  <w:r>
                    <w:t xml:space="preserve">-0.029***</w:t>
                  </w:r>
                </w:p>
              </w:tc>
            </w:tr>
            <w:tr>
              <w:tc>
                <w:tcPr/>
                <w:p>
                  <w:pPr>
                    <w:pStyle w:val="Compact"/>
                    <w:jc w:val="left"/>
                    <w:jc w:val="center"/>
                  </w:pPr>
                  <m:oMath>
                    <m:sSub>
                      <m:e>
                        <m:r>
                          <m:t>C</m:t>
                        </m:r>
                      </m:e>
                      <m:sub>
                        <m:r>
                          <m:t>o</m:t>
                        </m:r>
                        <m:r>
                          <m:t>r</m:t>
                        </m:r>
                        <m:r>
                          <m:t>g</m:t>
                        </m:r>
                      </m:sub>
                    </m:sSub>
                  </m:oMath>
                </w:p>
              </w:tc>
              <w:tc>
                <w:tcPr/>
                <w:p>
                  <w:pPr>
                    <w:pStyle w:val="Compact"/>
                    <w:jc w:val="left"/>
                    <w:jc w:val="center"/>
                  </w:pPr>
                  <w:r>
                    <w:t xml:space="preserve">0.612</w:t>
                  </w:r>
                </w:p>
              </w:tc>
              <w:tc>
                <w:tcPr/>
                <w:p>
                  <w:pPr>
                    <w:pStyle w:val="Compact"/>
                    <w:jc w:val="left"/>
                    <w:jc w:val="center"/>
                  </w:pPr>
                  <w:r>
                    <w:t xml:space="preserve">0.137</w:t>
                  </w:r>
                </w:p>
              </w:tc>
              <w:tc>
                <w:tcPr/>
                <w:p>
                  <w:pPr>
                    <w:pStyle w:val="Compact"/>
                    <w:jc w:val="left"/>
                    <w:jc w:val="center"/>
                  </w:pPr>
                  <w:r>
                    <w:t xml:space="preserve">1.250</w:t>
                  </w:r>
                </w:p>
              </w:tc>
              <w:tc>
                <w:tcPr/>
                <w:p>
                  <w:pPr>
                    <w:pStyle w:val="Compact"/>
                    <w:jc w:val="left"/>
                    <w:jc w:val="center"/>
                  </w:pPr>
                  <w:r>
                    <w:t xml:space="preserve">0.269</w:t>
                  </w:r>
                </w:p>
              </w:tc>
              <w:tc>
                <w:tcPr/>
                <w:p>
                  <w:pPr>
                    <w:pStyle w:val="Compact"/>
                    <w:jc w:val="left"/>
                    <w:jc w:val="center"/>
                  </w:pPr>
                  <w:r>
                    <w:t xml:space="preserve">1.454</w:t>
                  </w:r>
                </w:p>
              </w:tc>
            </w:tr>
            <w:tr>
              <w:tc>
                <w:tcPr/>
                <w:p>
                  <w:pPr>
                    <w:pStyle w:val="Compact"/>
                    <w:jc w:val="left"/>
                    <w:jc w:val="center"/>
                  </w:pPr>
                  <w:r>
                    <w:t xml:space="preserve">pH</w:t>
                  </w:r>
                </w:p>
              </w:tc>
              <w:tc>
                <w:tcPr/>
                <w:p>
                  <w:pPr>
                    <w:pStyle w:val="Compact"/>
                    <w:jc w:val="left"/>
                    <w:jc w:val="center"/>
                  </w:pPr>
                  <w:r>
                    <w:t xml:space="preserve">-0.018***</w:t>
                  </w:r>
                </w:p>
              </w:tc>
              <w:tc>
                <w:tcPr/>
                <w:p>
                  <w:pPr>
                    <w:pStyle w:val="Compact"/>
                    <w:jc w:val="left"/>
                    <w:jc w:val="center"/>
                  </w:pPr>
                  <w:r>
                    <w:t xml:space="preserve">-0.021***</w:t>
                  </w:r>
                </w:p>
              </w:tc>
              <w:tc>
                <w:tcPr/>
                <w:p>
                  <w:pPr>
                    <w:pStyle w:val="Compact"/>
                    <w:jc w:val="left"/>
                    <w:jc w:val="center"/>
                  </w:pPr>
                  <w:r>
                    <w:t xml:space="preserve">-0.092***</w:t>
                  </w:r>
                </w:p>
              </w:tc>
              <w:tc>
                <w:tcPr/>
                <w:p>
                  <w:pPr>
                    <w:pStyle w:val="Compact"/>
                    <w:jc w:val="left"/>
                    <w:jc w:val="center"/>
                  </w:pPr>
                  <w:r>
                    <w:t xml:space="preserve">0.124</w:t>
                  </w:r>
                </w:p>
              </w:tc>
              <w:tc>
                <w:tcPr/>
                <w:p>
                  <w:pPr>
                    <w:pStyle w:val="Compact"/>
                    <w:jc w:val="left"/>
                    <w:jc w:val="center"/>
                  </w:pPr>
                  <w:r>
                    <w:t xml:space="preserve">0.012</w:t>
                  </w:r>
                </w:p>
              </w:tc>
            </w:tr>
            <w:tr>
              <w:tc>
                <w:tcPr/>
                <w:p>
                  <w:pPr>
                    <w:pStyle w:val="Compact"/>
                    <w:jc w:val="left"/>
                    <w:jc w:val="center"/>
                  </w:pPr>
                  <w:r>
                    <w:t xml:space="preserve">Silt</w:t>
                  </w:r>
                </w:p>
              </w:tc>
              <w:tc>
                <w:tcPr/>
                <w:p>
                  <w:pPr>
                    <w:pStyle w:val="Compact"/>
                    <w:jc w:val="left"/>
                    <w:jc w:val="center"/>
                  </w:pPr>
                  <w:r>
                    <w:t xml:space="preserve">-0.000***</w:t>
                  </w:r>
                </w:p>
              </w:tc>
              <w:tc>
                <w:tcPr/>
                <w:p>
                  <w:pPr>
                    <w:pStyle w:val="Compact"/>
                    <w:jc w:val="left"/>
                    <w:jc w:val="center"/>
                  </w:pPr>
                  <w:r>
                    <w:t xml:space="preserve">0.004</w:t>
                  </w:r>
                </w:p>
              </w:tc>
              <w:tc>
                <w:tcPr/>
                <w:p>
                  <w:pPr>
                    <w:pStyle w:val="Compact"/>
                    <w:jc w:val="left"/>
                    <w:jc w:val="center"/>
                  </w:pPr>
                  <w:r>
                    <w:t xml:space="preserve">0.008</w:t>
                  </w:r>
                </w:p>
              </w:tc>
              <w:tc>
                <w:tcPr/>
                <w:p>
                  <w:pPr>
                    <w:pStyle w:val="Compact"/>
                    <w:jc w:val="left"/>
                    <w:jc w:val="center"/>
                  </w:pPr>
                  <w:r>
                    <w:t xml:space="preserve">-0.015***</w:t>
                  </w:r>
                </w:p>
              </w:tc>
              <w:tc>
                <w:tcPr/>
                <w:p>
                  <w:pPr>
                    <w:pStyle w:val="Compact"/>
                    <w:jc w:val="left"/>
                    <w:jc w:val="center"/>
                  </w:pPr>
                  <w:r>
                    <w:t xml:space="preserve">-0.049***</w:t>
                  </w:r>
                </w:p>
              </w:tc>
            </w:tr>
            <w:tr>
              <w:tc>
                <w:tcPr/>
                <w:p>
                  <w:pPr>
                    <w:pStyle w:val="Compact"/>
                    <w:jc w:val="left"/>
                    <w:jc w:val="center"/>
                  </w:pPr>
                  <m:oMath>
                    <m:sSubSup>
                      <m:e>
                        <m:r>
                          <m:t>R</m:t>
                        </m:r>
                      </m:e>
                      <m:sub>
                        <m:r>
                          <m:t>m</m:t>
                        </m:r>
                      </m:sub>
                      <m:sup>
                        <m:r>
                          <m:t>2</m:t>
                        </m:r>
                      </m:sup>
                    </m:sSubSup>
                  </m:oMath>
                </w:p>
              </w:tc>
              <w:tc>
                <w:tcPr/>
                <w:p>
                  <w:pPr>
                    <w:pStyle w:val="Compact"/>
                    <w:jc w:val="left"/>
                    <w:jc w:val="center"/>
                  </w:pPr>
                  <w:r>
                    <w:t xml:space="preserve">0.393</w:t>
                  </w:r>
                </w:p>
              </w:tc>
              <w:tc>
                <w:tcPr/>
                <w:p>
                  <w:pPr>
                    <w:pStyle w:val="Compact"/>
                    <w:jc w:val="left"/>
                    <w:jc w:val="center"/>
                  </w:pPr>
                  <w:r>
                    <w:t xml:space="preserve">0.212</w:t>
                  </w:r>
                </w:p>
              </w:tc>
              <w:tc>
                <w:tcPr/>
                <w:p>
                  <w:pPr>
                    <w:pStyle w:val="Compact"/>
                    <w:jc w:val="left"/>
                    <w:jc w:val="center"/>
                  </w:pPr>
                  <w:r>
                    <w:t xml:space="preserve">0.368</w:t>
                  </w:r>
                </w:p>
              </w:tc>
              <w:tc>
                <w:tcPr/>
                <w:p>
                  <w:pPr>
                    <w:pStyle w:val="Compact"/>
                    <w:jc w:val="left"/>
                    <w:jc w:val="center"/>
                  </w:pPr>
                  <w:r>
                    <w:t xml:space="preserve">0.362</w:t>
                  </w:r>
                </w:p>
              </w:tc>
              <w:tc>
                <w:tcPr/>
                <w:p>
                  <w:pPr>
                    <w:pStyle w:val="Compact"/>
                    <w:jc w:val="left"/>
                    <w:jc w:val="center"/>
                  </w:pPr>
                  <w:r>
                    <w:t xml:space="preserve">0.494</w:t>
                  </w:r>
                </w:p>
              </w:tc>
            </w:tr>
            <w:tr>
              <w:tc>
                <w:tcPr/>
                <w:p>
                  <w:pPr>
                    <w:pStyle w:val="Compact"/>
                    <w:jc w:val="left"/>
                    <w:jc w:val="center"/>
                  </w:pPr>
                  <m:oMath>
                    <m:sSubSup>
                      <m:e>
                        <m:r>
                          <m:t>R</m:t>
                        </m:r>
                      </m:e>
                      <m:sub>
                        <m:r>
                          <m:t>c</m:t>
                        </m:r>
                      </m:sub>
                      <m:sup>
                        <m:r>
                          <m:t>2</m:t>
                        </m:r>
                      </m:sup>
                    </m:sSubSup>
                  </m:oMath>
                </w:p>
              </w:tc>
              <w:tc>
                <w:tcPr/>
                <w:p>
                  <w:pPr>
                    <w:pStyle w:val="Compact"/>
                    <w:jc w:val="left"/>
                    <w:jc w:val="center"/>
                  </w:pPr>
                  <w:r>
                    <w:t xml:space="preserve">0.996</w:t>
                  </w:r>
                </w:p>
              </w:tc>
              <w:tc>
                <w:tcPr/>
                <w:p>
                  <w:pPr>
                    <w:pStyle w:val="Compact"/>
                    <w:jc w:val="left"/>
                    <w:jc w:val="center"/>
                  </w:pPr>
                  <w:r>
                    <w:t xml:space="preserve">0.915</w:t>
                  </w:r>
                </w:p>
              </w:tc>
              <w:tc>
                <w:tcPr/>
                <w:p>
                  <w:pPr>
                    <w:pStyle w:val="Compact"/>
                    <w:jc w:val="left"/>
                    <w:jc w:val="center"/>
                  </w:pPr>
                  <w:r>
                    <w:t xml:space="preserve">0.993</w:t>
                  </w:r>
                </w:p>
              </w:tc>
              <w:tc>
                <w:tcPr/>
                <w:p>
                  <w:pPr>
                    <w:pStyle w:val="Compact"/>
                    <w:jc w:val="left"/>
                    <w:jc w:val="center"/>
                  </w:pPr>
                  <w:r>
                    <w:t xml:space="preserve">0.995</w:t>
                  </w:r>
                </w:p>
              </w:tc>
              <w:tc>
                <w:tcPr/>
                <w:p>
                  <w:pPr>
                    <w:pStyle w:val="Compact"/>
                    <w:jc w:val="left"/>
                    <w:jc w:val="center"/>
                  </w:pPr>
                  <w:r>
                    <w:t xml:space="preserve">0.997</w:t>
                  </w:r>
                </w:p>
              </w:tc>
            </w:tr>
          </w:tbl>
          <w:bookmarkEnd w:id="41"/>
          <w:p/>
        </w:tc>
      </w:tr>
    </w:tbl>
    <w:p>
      <w:pPr>
        <w:pStyle w:val="BodyText"/>
      </w:pPr>
      <w:r>
        <w:t xml:space="preserve">The analysis reveals that the capacity-based P pools and the kinetic rate constant are controlled by different sets of soil properties, strongly supporting the hypotheses.</w:t>
      </w:r>
    </w:p>
    <w:p>
      <w:pPr>
        <w:pStyle w:val="BodyText"/>
      </w:pPr>
      <w:r>
        <w:t xml:space="preserve">In line with</w:t>
      </w:r>
      <w:r>
        <w:t xml:space="preserve"> </w:t>
      </w:r>
      <w:r>
        <w:rPr>
          <w:b/>
          <w:bCs/>
        </w:rPr>
        <w:t xml:space="preserve">Hypothesis 2b</w:t>
      </w:r>
      <w:r>
        <w:t xml:space="preserve">, the kinetic capacity parameter,</w:t>
      </w:r>
      <w:r>
        <w:t xml:space="preserve"> </w:t>
      </w:r>
      <w:r>
        <w:rPr>
          <w:b/>
          <w:bCs/>
        </w:rPr>
        <w:t xml:space="preserve">Desorbable P (</w:t>
      </w:r>
      <m:oMath>
        <m:sSub>
          <m:e>
            <m:r>
              <m:t>P</m:t>
            </m:r>
          </m:e>
          <m:sub>
            <m:r>
              <m:t>d</m:t>
            </m:r>
            <m:r>
              <m:t>e</m:t>
            </m:r>
            <m:r>
              <m:t>s</m:t>
            </m:r>
            <m:r>
              <m:t>o</m:t>
            </m:r>
            <m:r>
              <m:t>r</m:t>
            </m:r>
            <m:r>
              <m:t>b</m:t>
            </m:r>
          </m:sub>
        </m:sSub>
      </m:oMath>
      <w:r>
        <w:t xml:space="preserve">), showed a highly significant negative relationship with both dithionite-extractable iron (</w:t>
      </w:r>
      <m:oMath>
        <m:r>
          <m:t>F</m:t>
        </m:r>
        <m:sSub>
          <m:e>
            <m:r>
              <m:t>e</m:t>
            </m:r>
          </m:e>
          <m:sub>
            <m:r>
              <m:t>d</m:t>
            </m:r>
          </m:sub>
        </m:sSub>
      </m:oMath>
      <w:r>
        <w:t xml:space="preserve">) and aluminum (</w:t>
      </w:r>
      <m:oMath>
        <m:r>
          <m:t>A</m:t>
        </m:r>
        <m:sSub>
          <m:e>
            <m:r>
              <m:t>l</m:t>
            </m:r>
          </m:e>
          <m:sub>
            <m:r>
              <m:t>d</m:t>
            </m:r>
          </m:sub>
        </m:sSub>
      </m:oMath>
      <w:r>
        <w:t xml:space="preserve">). This provides strong evidence that the total pool of free oxides, which represent the primary P sorption surfaces in the soil, is a key factor controlling the size of the readily desorbable P pool.</w:t>
      </w:r>
    </w:p>
    <w:p>
      <w:pPr>
        <w:pStyle w:val="BodyText"/>
      </w:pPr>
      <w:r>
        <w:t xml:space="preserve">Also confirming</w:t>
      </w:r>
      <w:r>
        <w:t xml:space="preserve"> </w:t>
      </w:r>
      <w:r>
        <w:rPr>
          <w:b/>
          <w:bCs/>
        </w:rPr>
        <w:t xml:space="preserve">Hypothesis 2b</w:t>
      </w:r>
      <w:r>
        <w:t xml:space="preserve">, the</w:t>
      </w:r>
      <w:r>
        <w:t xml:space="preserve"> </w:t>
      </w:r>
      <w:r>
        <w:rPr>
          <w:b/>
          <w:bCs/>
        </w:rPr>
        <w:t xml:space="preserve">Rate Constant (</w:t>
      </w:r>
      <w:r>
        <w:rPr>
          <w:b/>
          <w:bCs/>
          <w:i/>
          <w:iCs/>
        </w:rPr>
        <w:t xml:space="preserve">k</w:t>
      </w:r>
      <w:r>
        <w:rPr>
          <w:b/>
          <w:bCs/>
        </w:rPr>
        <w:t xml:space="preserve">)</w:t>
      </w:r>
      <w:r>
        <w:t xml:space="preserve"> </w:t>
      </w:r>
      <w:r>
        <w:t xml:space="preserve">was governed by a different set of properties. It was not significantly influenced by the free oxides but instead showed a significant negative relationship with</w:t>
      </w:r>
      <w:r>
        <w:t xml:space="preserve"> </w:t>
      </w:r>
      <w:r>
        <w:rPr>
          <w:rStyle w:val="VerbatimChar"/>
        </w:rPr>
        <w:t xml:space="preserve">Clay</w:t>
      </w:r>
      <w:r>
        <w:t xml:space="preserve"> </w:t>
      </w:r>
      <w:r>
        <w:t xml:space="preserve">content and a positive relationship with organic carbon (</w:t>
      </w:r>
      <m:oMath>
        <m:sSub>
          <m:e>
            <m:r>
              <m:t>C</m:t>
            </m:r>
          </m:e>
          <m:sub>
            <m:r>
              <m:t>o</m:t>
            </m:r>
            <m:r>
              <m:t>r</m:t>
            </m:r>
            <m:r>
              <m:t>g</m:t>
            </m:r>
          </m:sub>
        </m:sSub>
      </m:oMath>
      <w:r>
        <w:t xml:space="preserve">). This clearly distinguishes the kinetic component from the capacity component, suggesting that while oxides control</w:t>
      </w:r>
      <w:r>
        <w:t xml:space="preserve"> </w:t>
      </w:r>
      <w:r>
        <w:rPr>
          <w:i/>
          <w:iCs/>
        </w:rPr>
        <w:t xml:space="preserve">how much</w:t>
      </w:r>
      <w:r>
        <w:t xml:space="preserve"> </w:t>
      </w:r>
      <w:r>
        <w:t xml:space="preserve">P can be held, soil texture and organic matter influence</w:t>
      </w:r>
      <w:r>
        <w:t xml:space="preserve"> </w:t>
      </w:r>
      <w:r>
        <w:rPr>
          <w:i/>
          <w:iCs/>
        </w:rPr>
        <w:t xml:space="preserve">how fast</w:t>
      </w:r>
      <w:r>
        <w:t xml:space="preserve"> </w:t>
      </w:r>
      <w:r>
        <w:t xml:space="preserve">it can be released.</w:t>
      </w:r>
    </w:p>
    <w:p>
      <w:pPr>
        <w:pStyle w:val="BodyText"/>
      </w:pPr>
      <w:r>
        <w:t xml:space="preserve">The standard STP methods showed patterns consistent with</w:t>
      </w:r>
      <w:r>
        <w:t xml:space="preserve"> </w:t>
      </w:r>
      <w:r>
        <w:rPr>
          <w:b/>
          <w:bCs/>
        </w:rPr>
        <w:t xml:space="preserve">Hypothesis 1b</w:t>
      </w:r>
      <w:r>
        <w:t xml:space="preserve">.</w:t>
      </w:r>
      <w:r>
        <w:t xml:space="preserve"> </w:t>
      </w:r>
      <w:r>
        <w:rPr>
          <w:b/>
          <w:bCs/>
        </w:rPr>
        <w:t xml:space="preserve">Organic Carbon (</w:t>
      </w:r>
      <m:oMath>
        <m:sSub>
          <m:e>
            <m:r>
              <m:t>C</m:t>
            </m:r>
          </m:e>
          <m:sub>
            <m:r>
              <m:t>o</m:t>
            </m:r>
            <m:r>
              <m:t>r</m:t>
            </m:r>
            <m:r>
              <m:t>g</m:t>
            </m:r>
          </m:sub>
        </m:sSub>
      </m:oMath>
      <w:r>
        <w:t xml:space="preserve">) had a highly significant positive effect on</w:t>
      </w:r>
      <w:r>
        <w:t xml:space="preserve"> </w:t>
      </w:r>
      <m:oMath>
        <m:sSub>
          <m:e>
            <m:r>
              <m:t>P</m:t>
            </m:r>
          </m:e>
          <m:sub>
            <m:r>
              <m:t>A</m:t>
            </m:r>
            <m:r>
              <m:t>A</m:t>
            </m:r>
            <m:r>
              <m:t>E</m:t>
            </m:r>
            <m:r>
              <m:t>10</m:t>
            </m:r>
          </m:sub>
        </m:sSub>
      </m:oMath>
      <w:r>
        <w:t xml:space="preserve">, and</w:t>
      </w:r>
      <w:r>
        <w:t xml:space="preserve"> </w:t>
      </w:r>
      <w:r>
        <w:rPr>
          <w:b/>
          <w:bCs/>
        </w:rPr>
        <w:t xml:space="preserve">pH</w:t>
      </w:r>
      <w:r>
        <w:t xml:space="preserve"> </w:t>
      </w:r>
      <w:r>
        <w:t xml:space="preserve">had a significant negative effect, as predicted. The relationship of the STP measures with the dithionite-extractable oxides was less consistent than that of</w:t>
      </w:r>
      <w:r>
        <w:t xml:space="preserve"> </w:t>
      </w:r>
      <m:oMath>
        <m:sSub>
          <m:e>
            <m:r>
              <m:t>P</m:t>
            </m:r>
          </m:e>
          <m:sub>
            <m:r>
              <m:t>d</m:t>
            </m:r>
            <m:r>
              <m:t>e</m:t>
            </m:r>
            <m:r>
              <m:t>s</m:t>
            </m:r>
            <m:r>
              <m:t>o</m:t>
            </m:r>
            <m:r>
              <m:t>r</m:t>
            </m:r>
            <m:r>
              <m:t>b</m:t>
            </m:r>
          </m:sub>
        </m:sSub>
      </m:oMath>
      <w:r>
        <w:t xml:space="preserve">, with only</w:t>
      </w:r>
      <w:r>
        <w:t xml:space="preserve"> </w:t>
      </w:r>
      <m:oMath>
        <m:sSub>
          <m:e>
            <m:r>
              <m:t>P</m:t>
            </m:r>
          </m:e>
          <m:sub>
            <m:r>
              <m:t>A</m:t>
            </m:r>
            <m:r>
              <m:t>A</m:t>
            </m:r>
            <m:r>
              <m:t>E</m:t>
            </m:r>
            <m:r>
              <m:t>10</m:t>
            </m:r>
          </m:sub>
        </m:sSub>
      </m:oMath>
      <w:r>
        <w:t xml:space="preserve"> </w:t>
      </w:r>
      <w:r>
        <w:t xml:space="preserve">showing a significant negative link to</w:t>
      </w:r>
      <w:r>
        <w:t xml:space="preserve"> </w:t>
      </w:r>
      <m:oMath>
        <m:r>
          <m:t>A</m:t>
        </m:r>
        <m:sSub>
          <m:e>
            <m:r>
              <m:t>l</m:t>
            </m:r>
          </m:e>
          <m:sub>
            <m:r>
              <m:t>d</m:t>
            </m:r>
          </m:sub>
        </m:sSub>
      </m:oMath>
      <w:r>
        <w:t xml:space="preserve">.</w:t>
      </w:r>
    </w:p>
    <w:bookmarkEnd w:id="42"/>
    <w:bookmarkStart w:id="64" w:name="sec-agronomic-modeling"/>
    <w:p>
      <w:pPr>
        <w:pStyle w:val="Heading2"/>
      </w:pPr>
      <w:r>
        <w:t xml:space="preserve">1.5 Predictive Modeling of Agronomic Outcomes</w:t>
      </w:r>
    </w:p>
    <w:p>
      <w:pPr>
        <w:pStyle w:val="FirstParagraph"/>
      </w:pPr>
      <w:r>
        <w:t xml:space="preserve">To formally evaluate the predictive power of the standard STP methods against the kinetic parameters, a series of linear mixed-effects models were fitted for each of the primary agronomic response variables. To test the central hypotheses of this thesis, the predictive power of the kinetic parameters was directly compared against that of the standard STP methods for several key agronomic outcomes. For each response variable—Normalized Yield (</w:t>
      </w:r>
      <m:oMath>
        <m:sSub>
          <m:e>
            <m:r>
              <m:t>Y</m:t>
            </m:r>
          </m:e>
          <m:sub>
            <m:r>
              <m:t>r</m:t>
            </m:r>
            <m:r>
              <m:t>e</m:t>
            </m:r>
            <m:r>
              <m:t>l</m:t>
            </m:r>
          </m:sub>
        </m:sSub>
      </m:oMath>
      <w:r>
        <w:t xml:space="preserve">), P Uptake (</w:t>
      </w:r>
      <m:oMath>
        <m:sSub>
          <m:e>
            <m:r>
              <m:t>P</m:t>
            </m:r>
          </m:e>
          <m:sub>
            <m:r>
              <m:t>u</m:t>
            </m:r>
            <m:r>
              <m:t>p</m:t>
            </m:r>
          </m:sub>
        </m:sSub>
      </m:oMath>
      <w:r>
        <w:t xml:space="preserve">), and P Balance (</w:t>
      </w:r>
      <m:oMath>
        <m:sSub>
          <m:e>
            <m:r>
              <m:t>P</m:t>
            </m:r>
          </m:e>
          <m:sub>
            <m:r>
              <m:t>b</m:t>
            </m:r>
            <m:r>
              <m:t>a</m:t>
            </m:r>
            <m:r>
              <m:t>l</m:t>
            </m:r>
          </m:sub>
        </m:sSub>
      </m:oMath>
      <w:r>
        <w:t xml:space="preserve">)—a set of competing linear mixed-effects models was constructed.</w:t>
      </w:r>
    </w:p>
    <w:p>
      <w:pPr>
        <w:pStyle w:val="BodyText"/>
      </w:pPr>
      <w:r>
        <w:t xml:space="preserve">To ensure a fair comparison, all models shared an identical random effects structure (</w:t>
      </w:r>
      <w:r>
        <w:rPr>
          <w:rStyle w:val="VerbatimChar"/>
        </w:rPr>
        <w:t xml:space="preserve">(1|year) + (1|Site) + (1|Site:block)</w:t>
      </w:r>
      <w:r>
        <w:t xml:space="preserve">), differing only in their fixed effects. Four distinct models were evaluated:</w:t>
      </w:r>
      <w:r>
        <w:t xml:space="preserve"> </w:t>
      </w:r>
      <m:oMath>
        <m:sSub>
          <m:e>
            <m:r>
              <m:t>P</m:t>
            </m:r>
          </m:e>
          <m:sub>
            <m:r>
              <m:t>C</m:t>
            </m:r>
            <m:sSub>
              <m:e>
                <m:r>
                  <m:t>O</m:t>
                </m:r>
              </m:e>
              <m:sub>
                <m:r>
                  <m:t>2</m:t>
                </m:r>
              </m:sub>
            </m:sSub>
          </m:sub>
        </m:sSub>
      </m:oMath>
      <w:r>
        <w:t xml:space="preserve"> </w:t>
      </w:r>
      <w:r>
        <w:t xml:space="preserve">Model: Used the standard water-soluble P test as the sole predictor.</w:t>
      </w:r>
      <w:r>
        <w:t xml:space="preserve"> </w:t>
      </w:r>
      <m:oMath>
        <m:sSub>
          <m:e>
            <m:r>
              <m:t>P</m:t>
            </m:r>
          </m:e>
          <m:sub>
            <m:r>
              <m:t>A</m:t>
            </m:r>
            <m:r>
              <m:t>A</m:t>
            </m:r>
            <m:r>
              <m:t>E</m:t>
            </m:r>
            <m:r>
              <m:t>10</m:t>
            </m:r>
          </m:sub>
        </m:sSub>
      </m:oMath>
      <w:r>
        <w:t xml:space="preserve"> </w:t>
      </w:r>
      <w:r>
        <w:t xml:space="preserve">Model: Used the standard chelate-extractable P test as the sole predictor.</w:t>
      </w:r>
      <w:r>
        <w:t xml:space="preserve"> </w:t>
      </w:r>
      <w:r>
        <w:rPr>
          <w:b/>
          <w:bCs/>
        </w:rPr>
        <w:t xml:space="preserve">STP Interaction Model:</w:t>
      </w:r>
      <w:r>
        <w:t xml:space="preserve"> </w:t>
      </w:r>
      <w:r>
        <w:t xml:space="preserve">Included both standard tests and their interaction term (</w:t>
      </w:r>
      <m:oMath>
        <m:sSub>
          <m:e>
            <m:r>
              <m:t>P</m:t>
            </m:r>
          </m:e>
          <m:sub>
            <m:r>
              <m:t>C</m:t>
            </m:r>
            <m:sSub>
              <m:e>
                <m:r>
                  <m:t>O</m:t>
                </m:r>
              </m:e>
              <m:sub>
                <m:r>
                  <m:t>2</m:t>
                </m:r>
              </m:sub>
            </m:sSub>
          </m:sub>
        </m:sSub>
        <m:r>
          <m:rPr>
            <m:sty m:val="p"/>
          </m:rPr>
          <m:t>*</m:t>
        </m:r>
        <m:sSub>
          <m:e>
            <m:r>
              <m:t>P</m:t>
            </m:r>
          </m:e>
          <m:sub>
            <m:r>
              <m:t>A</m:t>
            </m:r>
            <m:r>
              <m:t>A</m:t>
            </m:r>
            <m:r>
              <m:t>E</m:t>
            </m:r>
            <m:r>
              <m:t>10</m:t>
            </m:r>
          </m:sub>
        </m:sSub>
      </m:oMath>
      <w:r>
        <w:t xml:space="preserve">) to capture their combined effect.</w:t>
      </w:r>
      <w:r>
        <w:t xml:space="preserve"> </w:t>
      </w:r>
      <w:r>
        <w:rPr>
          <w:b/>
          <w:bCs/>
        </w:rPr>
        <w:t xml:space="preserve">Kinetic Model:</w:t>
      </w:r>
      <w:r>
        <w:t xml:space="preserve"> </w:t>
      </w:r>
      <w:r>
        <w:t xml:space="preserve">Used the log-transformed desorbable P pool (</w:t>
      </w:r>
      <m:oMath>
        <m:r>
          <m:t>l</m:t>
        </m:r>
        <m:r>
          <m:t>o</m:t>
        </m:r>
        <m:r>
          <m:t>g</m:t>
        </m:r>
        <m:r>
          <m:rPr>
            <m:sty m:val="p"/>
          </m:rPr>
          <m:t>(</m:t>
        </m:r>
        <m:sSub>
          <m:e>
            <m:r>
              <m:t>P</m:t>
            </m:r>
          </m:e>
          <m:sub>
            <m:r>
              <m:t>d</m:t>
            </m:r>
            <m:r>
              <m:t>e</m:t>
            </m:r>
            <m:r>
              <m:t>s</m:t>
            </m:r>
            <m:r>
              <m:t>o</m:t>
            </m:r>
            <m:r>
              <m:t>r</m:t>
            </m:r>
            <m:r>
              <m:t>b</m:t>
            </m:r>
          </m:sub>
        </m:sSub>
        <m:r>
          <m:rPr>
            <m:sty m:val="p"/>
          </m:rPr>
          <m:t>)</m:t>
        </m:r>
      </m:oMath>
      <w:r>
        <w:t xml:space="preserve">), the rate constant (</w:t>
      </w:r>
      <w:r>
        <w:rPr>
          <w:i/>
          <w:iCs/>
        </w:rPr>
        <w:t xml:space="preserve">k</w:t>
      </w:r>
      <w:r>
        <w:t xml:space="preserve">), and their interaction (</w:t>
      </w:r>
      <m:oMath>
        <m:sSub>
          <m:e>
            <m:r>
              <m:t>J</m:t>
            </m:r>
          </m:e>
          <m:sub>
            <m:r>
              <m:t>0</m:t>
            </m:r>
          </m:sub>
        </m:sSub>
      </m:oMath>
      <w:r>
        <w:t xml:space="preserve">) as predictors.</w:t>
      </w:r>
    </w:p>
    <w:p>
      <w:pPr>
        <w:pStyle w:val="BodyText"/>
      </w:pPr>
      <w:r>
        <w:t xml:space="preserve">The performance of these models for each agronomic outcome is presented in the following sections.</w:t>
      </w:r>
    </w:p>
    <w:bookmarkStart w:id="51" w:name="anomaly-in-the-cadenazzo-yield-data"/>
    <w:p>
      <w:pPr>
        <w:pStyle w:val="Heading3"/>
      </w:pPr>
      <w:r>
        <w:t xml:space="preserve">1.5.1 Anomaly in the Cadenazzo Yield Data</w:t>
      </w:r>
    </w:p>
    <w:p>
      <w:pPr>
        <w:pStyle w:val="FirstParagraph"/>
      </w:pPr>
      <w:r>
        <w:t xml:space="preserve">A preliminary visual analysis of the agronomic data revealed a significant anomaly at the Cadenazzo (CAD) site. As shown in</w:t>
      </w:r>
      <w:r>
        <w:t xml:space="preserve"> </w:t>
      </w:r>
      <w:hyperlink w:anchor="fig-yield-comparison">
        <w:r>
          <w:rPr>
            <w:rStyle w:val="Hyperlink"/>
          </w:rPr>
          <w:t xml:space="preserve">Figure 6</w:t>
        </w:r>
      </w:hyperlink>
      <w:r>
        <w:t xml:space="preserve">, the Cadenazzo site exhibited substantially higher overall yields than all other locations. More critically, the yield response to P fertilization did not follow the expected agronomic trend. The zero-fertilizer treatment (</w:t>
      </w:r>
      <w:r>
        <w:rPr>
          <w:rStyle w:val="VerbatimChar"/>
        </w:rPr>
        <w:t xml:space="preserve">P0</w:t>
      </w:r>
      <w:r>
        <w:t xml:space="preserve">) showed the highest median yield, while the surplus treatment (</w:t>
      </w:r>
      <w:r>
        <w:rPr>
          <w:rStyle w:val="VerbatimChar"/>
        </w:rPr>
        <w:t xml:space="preserve">P166</w:t>
      </w:r>
      <w:r>
        <w:t xml:space="preserve">) was among the lowest.</w:t>
      </w:r>
    </w:p>
    <w:p>
      <w:pPr>
        <w:pStyle w:val="BodyText"/>
      </w:pPr>
      <w:r>
        <w:t xml:space="preserve">A simple label swap between</w:t>
      </w:r>
      <w:r>
        <w:t xml:space="preserve"> </w:t>
      </w:r>
      <w:r>
        <w:rPr>
          <w:rStyle w:val="VerbatimChar"/>
        </w:rPr>
        <w:t xml:space="preserve">P0</w:t>
      </w:r>
      <w:r>
        <w:t xml:space="preserve"> </w:t>
      </w:r>
      <w:r>
        <w:t xml:space="preserve">and</w:t>
      </w:r>
      <w:r>
        <w:t xml:space="preserve"> </w:t>
      </w:r>
      <w:r>
        <w:rPr>
          <w:rStyle w:val="VerbatimChar"/>
        </w:rPr>
        <w:t xml:space="preserve">P166</w:t>
      </w:r>
      <w:r>
        <w:t xml:space="preserve"> </w:t>
      </w:r>
      <w:r>
        <w:t xml:space="preserve">was hypothesized and tested (</w:t>
      </w:r>
      <w:hyperlink w:anchor="fig-yield-cadenazzo-fix">
        <w:r>
          <w:rPr>
            <w:rStyle w:val="Hyperlink"/>
          </w:rPr>
          <w:t xml:space="preserve">Figure 7</w:t>
        </w:r>
      </w:hyperlink>
      <w:r>
        <w:t xml:space="preserve">). While this correction established a more monotonic trend, the resulting pattern remained questionable, with the corrected</w:t>
      </w:r>
      <w:r>
        <w:t xml:space="preserve"> </w:t>
      </w:r>
      <w:r>
        <w:rPr>
          <w:rStyle w:val="VerbatimChar"/>
        </w:rPr>
        <w:t xml:space="preserve">P166</w:t>
      </w:r>
      <w:r>
        <w:t xml:space="preserve"> </w:t>
      </w:r>
      <w:r>
        <w:t xml:space="preserve">yield being inexplicably higher than the</w:t>
      </w:r>
      <w:r>
        <w:t xml:space="preserve"> </w:t>
      </w:r>
      <w:r>
        <w:rPr>
          <w:rStyle w:val="VerbatimChar"/>
        </w:rPr>
        <w:t xml:space="preserve">P100</w:t>
      </w:r>
      <w:r>
        <w:t xml:space="preserve"> </w:t>
      </w:r>
      <w:r>
        <w:t xml:space="preserve">and</w:t>
      </w:r>
      <w:r>
        <w:t xml:space="preserve"> </w:t>
      </w:r>
      <w:r>
        <w:rPr>
          <w:rStyle w:val="VerbatimChar"/>
        </w:rPr>
        <w:t xml:space="preserve">P133</w:t>
      </w:r>
      <w:r>
        <w:t xml:space="preserve"> </w:t>
      </w:r>
      <w:r>
        <w:t xml:space="preserve">treatments, which is not a typical biological response.</w:t>
      </w:r>
    </w:p>
    <w:p>
      <w:pPr>
        <w:pStyle w:val="BodyText"/>
      </w:pPr>
      <w:r>
        <w:t xml:space="preserve">Unfortunately, a deeper investigation into the cause of this anomaly was impossible, as the corresponding soil analysis data (STPs, organic carbon, etc.) for the Cadenazzo site were unavailable due to sample loss. Without this data, it cannot be determined whether the issue stems from a persistent micro-site anomaly, a more complex data recording error, or other unknown factors. Given these unresolved inconsistencies and the site’s unusually high productivity, the Cadenazzo data was retained in the models but is recognized as a significant source of unexplained variance that likely contributed to the poor predictive performance of all models for yield-related metrics like</w:t>
      </w:r>
      <w:r>
        <w:t xml:space="preserve"> </w:t>
      </w:r>
      <m:oMath>
        <m:sSub>
          <m:e>
            <m:r>
              <m:t>Y</m:t>
            </m:r>
          </m:e>
          <m:sub>
            <m:r>
              <m:t>n</m:t>
            </m:r>
            <m:r>
              <m:t>o</m:t>
            </m:r>
            <m:r>
              <m:t>r</m:t>
            </m:r>
            <m:r>
              <m:t>m</m:t>
            </m:r>
          </m:sub>
        </m:sSub>
      </m:oMath>
      <w:r>
        <w:t xml:space="preserve"> </w:t>
      </w:r>
      <w:r>
        <w:t xml:space="preserve">and</w:t>
      </w:r>
      <w:r>
        <w:t xml:space="preserve"> </w:t>
      </w:r>
      <m:oMath>
        <m:sSub>
          <m:e>
            <m:r>
              <m:t>Y</m:t>
            </m:r>
          </m:e>
          <m:sub>
            <m:r>
              <m:t>r</m:t>
            </m:r>
            <m:r>
              <m:t>e</m:t>
            </m:r>
            <m:r>
              <m:t>l</m:t>
            </m:r>
          </m:sub>
        </m:sSub>
      </m:oMath>
      <w:r>
        <w:t xml:space="preserve">.</w:t>
      </w:r>
    </w:p>
    <w:tbl>
      <w:tblPr>
        <w:tblStyle w:val="Table"/>
        <w:tblW w:type="pct" w:w="5000"/>
        <w:tblLayout w:type="fixed"/>
        <w:tblLook w:firstRow="0" w:lastRow="0" w:firstColumn="0" w:lastColumn="0" w:noHBand="0" w:noVBand="0" w:val="0000"/>
      </w:tblPr>
      <w:tblGrid>
        <w:gridCol w:w="7920"/>
      </w:tblGrid>
      <w:tr>
        <w:tc>
          <w:tcPr/>
          <w:bookmarkStart w:id="46" w:name="fig-yield-comparison"/>
          <w:p>
            <w:pPr>
              <w:pStyle w:val="Compact"/>
              <w:jc w:val="center"/>
            </w:pPr>
            <w:r>
              <w:drawing>
                <wp:inline>
                  <wp:extent cx="4620126" cy="3696101"/>
                  <wp:effectExtent b="0" l="0" r="0" t="0"/>
                  <wp:docPr descr="" title="" id="44" name="Picture"/>
                  <a:graphic>
                    <a:graphicData uri="http://schemas.openxmlformats.org/drawingml/2006/picture">
                      <pic:pic>
                        <pic:nvPicPr>
                          <pic:cNvPr descr="25-results_files/figure-docx/fig-yield-comparison-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Annual dry matter yield across P fertilization treatments, faceted by experimental site, highlighting the anomalous pattern at Cadenazzo (CAD).</w:t>
            </w:r>
          </w:p>
          <w:bookmarkEnd w:id="46"/>
        </w:tc>
      </w:tr>
    </w:tbl>
    <w:tbl>
      <w:tblPr>
        <w:tblStyle w:val="Table"/>
        <w:tblW w:type="pct" w:w="5000"/>
        <w:tblLayout w:type="fixed"/>
        <w:tblLook w:firstRow="0" w:lastRow="0" w:firstColumn="0" w:lastColumn="0" w:noHBand="0" w:noVBand="0" w:val="0000"/>
      </w:tblPr>
      <w:tblGrid>
        <w:gridCol w:w="7920"/>
      </w:tblGrid>
      <w:tr>
        <w:tc>
          <w:tcPr/>
          <w:bookmarkStart w:id="50" w:name="fig-yield-cadenazzo-fix"/>
          <w:p>
            <w:pPr>
              <w:pStyle w:val="Compact"/>
              <w:jc w:val="center"/>
            </w:pPr>
            <w:r>
              <w:drawing>
                <wp:inline>
                  <wp:extent cx="4620126" cy="3696101"/>
                  <wp:effectExtent b="0" l="0" r="0" t="0"/>
                  <wp:docPr descr="" title="" id="48" name="Picture"/>
                  <a:graphic>
                    <a:graphicData uri="http://schemas.openxmlformats.org/drawingml/2006/picture">
                      <pic:pic>
                        <pic:nvPicPr>
                          <pic:cNvPr descr="25-results_files/figure-docx/fig-yield-cadenazzo-fix-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Comparison of Cadenazzo yields with original and swapped (P0 &lt;&gt; P166) treatment labels.</w:t>
            </w:r>
          </w:p>
          <w:bookmarkEnd w:id="50"/>
        </w:tc>
      </w:tr>
    </w:tbl>
    <w:bookmarkEnd w:id="51"/>
    <w:bookmarkStart w:id="53" w:name="predicting-site-normalized-yield-y_norm"/>
    <w:p>
      <w:pPr>
        <w:pStyle w:val="Heading3"/>
      </w:pPr>
      <w:r>
        <w:t xml:space="preserve">1.5.2 Predicting Site-Normalized Yield (</w:t>
      </w:r>
      <m:oMath>
        <m:sSub>
          <m:e>
            <m:r>
              <m:t>Y</m:t>
            </m:r>
          </m:e>
          <m:sub>
            <m:r>
              <m:t>n</m:t>
            </m:r>
            <m:r>
              <m:t>o</m:t>
            </m:r>
            <m:r>
              <m:t>r</m:t>
            </m:r>
            <m:r>
              <m:t>m</m:t>
            </m:r>
          </m:sub>
        </m:sSub>
      </m:oMath>
      <w:r>
        <w:t xml:space="preserve">)</w:t>
      </w:r>
    </w:p>
    <w:p>
      <w:pPr>
        <w:pStyle w:val="FirstParagraph"/>
      </w:pPr>
      <w:r>
        <w:t xml:space="preserve">The analysis reveals a clear and striking difference between the predictive power of the standard STP methods and the kinetic parameters for site-normalized yield, as seen in</w:t>
      </w:r>
      <w:r>
        <w:t xml:space="preserve"> </w:t>
      </w:r>
      <w:hyperlink w:anchor="tbl-ynorm-model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tbl-ynorm-models"/>
          <w:p>
            <w:pPr>
              <w:jc w:val="center"/>
            </w:pPr>
            <w:pPr>
              <w:jc w:val="left"/>
              <w:spacing w:before="200"/>
              <w:pStyle w:val="ImageCaption"/>
            </w:pPr>
            <w:r>
              <w:t xml:space="preserve">Table 2: Results of linear mixed-effects models predicting Site-Normalized Yield (</w:t>
            </w:r>
            <m:oMath>
              <m:sSub>
                <m:e>
                  <m:r>
                    <m:t>Y</m:t>
                  </m:r>
                </m:e>
                <m:sub>
                  <m:r>
                    <m:t>n</m:t>
                  </m:r>
                  <m:r>
                    <m:t>o</m:t>
                  </m:r>
                  <m:r>
                    <m:t>r</m:t>
                  </m:r>
                  <m:r>
                    <m:t>m</m:t>
                  </m:r>
                </m:sub>
              </m:sSub>
            </m:oMath>
            <w:r>
              <w:t xml:space="preserve">).</w:t>
            </w:r>
          </w:p>
          <w:tbl>
            <w:tblPr>
              <w:tblStyle w:val="Table"/>
              <w:tblW w:type="pct" w:w="5000"/>
              <w:tblLayout w:type="fixed"/>
              <w:tblLook w:firstRow="1" w:lastRow="0" w:firstColumn="0" w:lastColumn="0" w:noHBand="0" w:noVBand="0" w:val="0020"/>
            </w:tblPr>
            <w:tblGrid>
              <w:gridCol w:w="2956"/>
              <w:gridCol w:w="1161"/>
              <w:gridCol w:w="1267"/>
              <w:gridCol w:w="1689"/>
              <w:gridCol w:w="844"/>
            </w:tblGrid>
            <w:tr>
              <w:trPr>
                <w:tblHeader w:val="on"/>
              </w:trPr>
              <w:tc>
                <w:tcPr/>
                <w:p>
                  <w:pPr>
                    <w:pStyle w:val="Compact"/>
                    <w:jc w:val="left"/>
                    <w:jc w:val="center"/>
                  </w:pPr>
                  <w:r>
                    <w:t xml:space="preserve">Predictor</w:t>
                  </w:r>
                </w:p>
              </w:tc>
              <w:tc>
                <w:tcPr/>
                <w:p>
                  <w:pPr>
                    <w:pStyle w:val="Compact"/>
                    <w:jc w:val="left"/>
                    <w:jc w:val="center"/>
                  </w:pPr>
                  <m:oMath>
                    <m:sSub>
                      <m:e>
                        <m:r>
                          <m:t>P</m:t>
                        </m:r>
                      </m:e>
                      <m:sub>
                        <m:r>
                          <m:t>C</m:t>
                        </m:r>
                        <m:sSub>
                          <m:e>
                            <m:r>
                              <m:t>O</m:t>
                            </m:r>
                          </m:e>
                          <m:sub>
                            <m:r>
                              <m:t>2</m:t>
                            </m:r>
                          </m:sub>
                        </m:sSub>
                      </m:sub>
                    </m:sSub>
                  </m:oMath>
                </w:p>
              </w:tc>
              <w:tc>
                <w:tcPr/>
                <w:p>
                  <w:pPr>
                    <w:pStyle w:val="Compact"/>
                    <w:jc w:val="left"/>
                    <w:jc w:val="center"/>
                  </w:pPr>
                  <m:oMath>
                    <m:sSub>
                      <m:e>
                        <m:r>
                          <m:t>P</m:t>
                        </m:r>
                      </m:e>
                      <m:sub>
                        <m:r>
                          <m:t>A</m:t>
                        </m:r>
                        <m:r>
                          <m:t>A</m:t>
                        </m:r>
                        <m:r>
                          <m:t>E</m:t>
                        </m:r>
                        <m:r>
                          <m:t>10</m:t>
                        </m:r>
                      </m:sub>
                    </m:sSub>
                  </m:oMath>
                </w:p>
              </w:tc>
              <w:tc>
                <w:tcPr/>
                <w:p>
                  <w:pPr>
                    <w:pStyle w:val="Compact"/>
                    <w:jc w:val="left"/>
                    <w:jc w:val="center"/>
                  </w:pPr>
                  <w:r>
                    <w:t xml:space="preserve">STP-interaction</w:t>
                  </w:r>
                </w:p>
              </w:tc>
              <w:tc>
                <w:tcPr/>
                <w:p>
                  <w:pPr>
                    <w:pStyle w:val="Compact"/>
                    <w:jc w:val="left"/>
                    <w:jc w:val="center"/>
                  </w:pPr>
                  <w:r>
                    <w:t xml:space="preserve">kinetic</w:t>
                  </w:r>
                </w:p>
              </w:tc>
            </w:tr>
            <w:tr>
              <w:tc>
                <w:tcPr/>
                <w:p>
                  <w:pPr>
                    <w:pStyle w:val="Compact"/>
                    <w:jc w:val="left"/>
                    <w:jc w:val="center"/>
                  </w:pPr>
                  <w:r>
                    <w:t xml:space="preserve">Intercept</w:t>
                  </w:r>
                </w:p>
              </w:tc>
              <w:tc>
                <w:tcPr/>
                <w:p>
                  <w:pPr>
                    <w:pStyle w:val="Compact"/>
                    <w:jc w:val="left"/>
                    <w:jc w:val="center"/>
                  </w:pPr>
                  <w:r>
                    <w:t xml:space="preserve">1.059***</w:t>
                  </w:r>
                </w:p>
              </w:tc>
              <w:tc>
                <w:tcPr/>
                <w:p>
                  <w:pPr>
                    <w:pStyle w:val="Compact"/>
                    <w:jc w:val="left"/>
                    <w:jc w:val="center"/>
                  </w:pPr>
                  <w:r>
                    <w:t xml:space="preserve">0.532***</w:t>
                  </w:r>
                </w:p>
              </w:tc>
              <w:tc>
                <w:tcPr/>
                <w:p>
                  <w:pPr>
                    <w:pStyle w:val="Compact"/>
                    <w:jc w:val="left"/>
                    <w:jc w:val="center"/>
                  </w:pPr>
                  <w:r>
                    <w:t xml:space="preserve">1.096***</w:t>
                  </w:r>
                </w:p>
              </w:tc>
              <w:tc>
                <w:tcPr/>
                <w:p>
                  <w:pPr>
                    <w:pStyle w:val="Compact"/>
                    <w:jc w:val="left"/>
                    <w:jc w:val="center"/>
                  </w:pPr>
                  <w:r>
                    <w:t xml:space="preserve">0.980</w:t>
                  </w:r>
                </w:p>
              </w:tc>
            </w:tr>
            <w:tr>
              <w:tc>
                <w:tcPr/>
                <w:p>
                  <w:pPr>
                    <w:pStyle w:val="Compact"/>
                    <w:jc w:val="left"/>
                    <w:jc w:val="center"/>
                  </w:pPr>
                  <m:oMath>
                    <m:r>
                      <m:t>k</m:t>
                    </m:r>
                  </m:oMath>
                </w:p>
              </w:tc>
              <w:tc>
                <w:tcPr/>
                <w:p>
                  <w:pPr>
                    <w:pStyle w:val="Compact"/>
                  </w:pPr>
                </w:p>
              </w:tc>
              <w:tc>
                <w:tcPr/>
                <w:p>
                  <w:pPr>
                    <w:pStyle w:val="Compact"/>
                  </w:pPr>
                </w:p>
              </w:tc>
              <w:tc>
                <w:tcPr/>
                <w:p>
                  <w:pPr>
                    <w:pStyle w:val="Compact"/>
                  </w:pPr>
                </w:p>
              </w:tc>
              <w:tc>
                <w:tcPr/>
                <w:p>
                  <w:pPr>
                    <w:pStyle w:val="Compact"/>
                    <w:jc w:val="left"/>
                    <w:jc w:val="center"/>
                  </w:pPr>
                  <w:r>
                    <w:t xml:space="preserve">2.262</w:t>
                  </w:r>
                </w:p>
              </w:tc>
            </w:tr>
            <w:tr>
              <w:tc>
                <w:tcPr/>
                <w:p>
                  <w:pPr>
                    <w:pStyle w:val="Compact"/>
                    <w:jc w:val="left"/>
                    <w:jc w:val="center"/>
                  </w:pPr>
                  <m:oMath>
                    <m:sSub>
                      <m:e>
                        <m:r>
                          <m:t>J</m:t>
                        </m:r>
                      </m:e>
                      <m:sub>
                        <m:r>
                          <m:t>0</m:t>
                        </m:r>
                      </m:sub>
                    </m:sSub>
                  </m:oMath>
                </w:p>
              </w:tc>
              <w:tc>
                <w:tcPr/>
                <w:p>
                  <w:pPr>
                    <w:pStyle w:val="Compact"/>
                  </w:pPr>
                </w:p>
              </w:tc>
              <w:tc>
                <w:tcPr/>
                <w:p>
                  <w:pPr>
                    <w:pStyle w:val="Compact"/>
                  </w:pPr>
                </w:p>
              </w:tc>
              <w:tc>
                <w:tcPr/>
                <w:p>
                  <w:pPr>
                    <w:pStyle w:val="Compact"/>
                  </w:pPr>
                </w:p>
              </w:tc>
              <w:tc>
                <w:tcPr/>
                <w:p>
                  <w:pPr>
                    <w:pStyle w:val="Compact"/>
                    <w:jc w:val="left"/>
                    <w:jc w:val="center"/>
                  </w:pPr>
                  <w:r>
                    <w:t xml:space="preserve">0.931</w:t>
                  </w:r>
                </w:p>
              </w:tc>
            </w:tr>
            <w:tr>
              <w:tc>
                <w:tcPr/>
                <w:p>
                  <w:pPr>
                    <w:pStyle w:val="Compact"/>
                    <w:jc w:val="left"/>
                    <w:jc w:val="center"/>
                  </w:pPr>
                  <m:oMath>
                    <m:sSub>
                      <m:e>
                        <m:r>
                          <m:t>P</m:t>
                        </m:r>
                      </m:e>
                      <m:sub>
                        <m:r>
                          <m:t>d</m:t>
                        </m:r>
                        <m:r>
                          <m:t>e</m:t>
                        </m:r>
                        <m:r>
                          <m:t>s</m:t>
                        </m:r>
                        <m:r>
                          <m:t>o</m:t>
                        </m:r>
                        <m:r>
                          <m:t>r</m:t>
                        </m:r>
                        <m:r>
                          <m:t>b</m:t>
                        </m:r>
                      </m:sub>
                    </m:sSub>
                  </m:oMath>
                </w:p>
              </w:tc>
              <w:tc>
                <w:tcPr/>
                <w:p>
                  <w:pPr>
                    <w:pStyle w:val="Compact"/>
                  </w:pPr>
                </w:p>
              </w:tc>
              <w:tc>
                <w:tcPr/>
                <w:p>
                  <w:pPr>
                    <w:pStyle w:val="Compact"/>
                  </w:pPr>
                </w:p>
              </w:tc>
              <w:tc>
                <w:tcPr/>
                <w:p>
                  <w:pPr>
                    <w:pStyle w:val="Compact"/>
                  </w:pPr>
                </w:p>
              </w:tc>
              <w:tc>
                <w:tcPr/>
                <w:p>
                  <w:pPr>
                    <w:pStyle w:val="Compact"/>
                    <w:jc w:val="left"/>
                    <w:jc w:val="center"/>
                  </w:pPr>
                  <w:r>
                    <w:t xml:space="preserve">-0.063</w:t>
                  </w:r>
                </w:p>
              </w:tc>
            </w:tr>
            <w:tr>
              <w:tc>
                <w:tcPr/>
                <w:p>
                  <w:pPr>
                    <w:pStyle w:val="Compact"/>
                    <w:jc w:val="left"/>
                    <w:jc w:val="center"/>
                  </w:pPr>
                  <m:oMath>
                    <m:sSub>
                      <m:e>
                        <m:r>
                          <m:t>P</m:t>
                        </m:r>
                      </m:e>
                      <m:sub>
                        <m:r>
                          <m:t>A</m:t>
                        </m:r>
                        <m:r>
                          <m:t>A</m:t>
                        </m:r>
                        <m:r>
                          <m:t>E</m:t>
                        </m:r>
                        <m:r>
                          <m:t>10</m:t>
                        </m:r>
                      </m:sub>
                    </m:sSub>
                  </m:oMath>
                </w:p>
              </w:tc>
              <w:tc>
                <w:tcPr/>
                <w:p>
                  <w:pPr>
                    <w:pStyle w:val="Compact"/>
                  </w:pPr>
                </w:p>
              </w:tc>
              <w:tc>
                <w:tcPr/>
                <w:p>
                  <w:pPr>
                    <w:pStyle w:val="Compact"/>
                    <w:jc w:val="left"/>
                    <w:jc w:val="center"/>
                  </w:pPr>
                  <w:r>
                    <w:t xml:space="preserve">0.120***</w:t>
                  </w:r>
                </w:p>
              </w:tc>
              <w:tc>
                <w:tcPr/>
                <w:p>
                  <w:pPr>
                    <w:pStyle w:val="Compact"/>
                    <w:jc w:val="left"/>
                    <w:jc w:val="center"/>
                  </w:pPr>
                  <w:r>
                    <w:t xml:space="preserve">-0.006</w:t>
                  </w:r>
                </w:p>
              </w:tc>
              <w:tc>
                <w:tcPr/>
                <w:p>
                  <w:pPr>
                    <w:pStyle w:val="Compact"/>
                  </w:pPr>
                </w:p>
              </w:tc>
            </w:tr>
            <w:tr>
              <w:tc>
                <w:tcPr/>
                <w:p>
                  <w:pPr>
                    <w:pStyle w:val="Compact"/>
                    <w:jc w:val="left"/>
                    <w:jc w:val="center"/>
                  </w:pPr>
                  <m:oMath>
                    <m:sSub>
                      <m:e>
                        <m:r>
                          <m:t>P</m:t>
                        </m:r>
                      </m:e>
                      <m:sub>
                        <m:r>
                          <m:t>C</m:t>
                        </m:r>
                        <m:sSub>
                          <m:e>
                            <m:r>
                              <m:t>O</m:t>
                            </m:r>
                          </m:e>
                          <m:sub>
                            <m:r>
                              <m:t>2</m:t>
                            </m:r>
                          </m:sub>
                        </m:sSub>
                      </m:sub>
                    </m:sSub>
                  </m:oMath>
                </w:p>
              </w:tc>
              <w:tc>
                <w:tcPr/>
                <w:p>
                  <w:pPr>
                    <w:pStyle w:val="Compact"/>
                    <w:jc w:val="left"/>
                    <w:jc w:val="center"/>
                  </w:pPr>
                  <w:r>
                    <w:t xml:space="preserve">0.162***</w:t>
                  </w:r>
                </w:p>
              </w:tc>
              <w:tc>
                <w:tcPr/>
                <w:p>
                  <w:pPr>
                    <w:pStyle w:val="Compact"/>
                  </w:pPr>
                </w:p>
              </w:tc>
              <w:tc>
                <w:tcPr/>
                <w:p>
                  <w:pPr>
                    <w:pStyle w:val="Compact"/>
                    <w:jc w:val="left"/>
                    <w:jc w:val="center"/>
                  </w:pPr>
                  <w:r>
                    <w:t xml:space="preserve">0.137</w:t>
                  </w:r>
                </w:p>
              </w:tc>
              <w:tc>
                <w:tcPr/>
                <w:p>
                  <w:pPr>
                    <w:pStyle w:val="Compact"/>
                  </w:pPr>
                </w:p>
              </w:tc>
            </w:tr>
            <w:tr>
              <w:tc>
                <w:tcPr/>
                <w:p>
                  <w:pPr>
                    <w:pStyle w:val="Compact"/>
                    <w:jc w:val="left"/>
                    <w:jc w:val="center"/>
                  </w:pPr>
                  <m:oMath>
                    <m:sSub>
                      <m:e>
                        <m:r>
                          <m:t>P</m:t>
                        </m:r>
                      </m:e>
                      <m:sub>
                        <m:r>
                          <m:t>C</m:t>
                        </m:r>
                        <m:sSub>
                          <m:e>
                            <m:r>
                              <m:t>O</m:t>
                            </m:r>
                          </m:e>
                          <m:sub>
                            <m:r>
                              <m:t>2</m:t>
                            </m:r>
                          </m:sub>
                        </m:sSub>
                      </m:sub>
                    </m:sSub>
                    <m:r>
                      <m:rPr>
                        <m:sty m:val="p"/>
                      </m:rPr>
                      <m:t>×</m:t>
                    </m:r>
                    <m:sSub>
                      <m:e>
                        <m:r>
                          <m:t>P</m:t>
                        </m:r>
                      </m:e>
                      <m:sub>
                        <m:r>
                          <m:t>A</m:t>
                        </m:r>
                        <m:r>
                          <m:t>A</m:t>
                        </m:r>
                        <m:r>
                          <m:t>E</m:t>
                        </m:r>
                        <m:r>
                          <m:t>10</m:t>
                        </m:r>
                      </m:sub>
                    </m:sSub>
                  </m:oMath>
                </w:p>
              </w:tc>
              <w:tc>
                <w:tcPr/>
                <w:p>
                  <w:pPr>
                    <w:pStyle w:val="Compact"/>
                  </w:pPr>
                </w:p>
              </w:tc>
              <w:tc>
                <w:tcPr/>
                <w:p>
                  <w:pPr>
                    <w:pStyle w:val="Compact"/>
                  </w:pPr>
                </w:p>
              </w:tc>
              <w:tc>
                <w:tcPr/>
                <w:p>
                  <w:pPr>
                    <w:pStyle w:val="Compact"/>
                    <w:jc w:val="left"/>
                    <w:jc w:val="center"/>
                  </w:pPr>
                  <w:r>
                    <w:t xml:space="preserve">0.016</w:t>
                  </w:r>
                </w:p>
              </w:tc>
              <w:tc>
                <w:tcPr/>
                <w:p>
                  <w:pPr>
                    <w:pStyle w:val="Compact"/>
                  </w:pPr>
                </w:p>
              </w:tc>
            </w:tr>
            <w:tr>
              <w:tc>
                <w:tcPr/>
                <w:p>
                  <w:pPr>
                    <w:pStyle w:val="Compact"/>
                    <w:jc w:val="left"/>
                    <w:jc w:val="center"/>
                  </w:pPr>
                  <m:oMath>
                    <m:sSubSup>
                      <m:e>
                        <m:r>
                          <m:t>R</m:t>
                        </m:r>
                      </m:e>
                      <m:sub>
                        <m:r>
                          <m:t>m</m:t>
                        </m:r>
                      </m:sub>
                      <m:sup>
                        <m:r>
                          <m:t>2</m:t>
                        </m:r>
                      </m:sup>
                    </m:sSubSup>
                  </m:oMath>
                </w:p>
              </w:tc>
              <w:tc>
                <w:tcPr/>
                <w:p>
                  <w:pPr>
                    <w:pStyle w:val="Compact"/>
                    <w:jc w:val="left"/>
                    <w:jc w:val="center"/>
                  </w:pPr>
                  <w:r>
                    <w:t xml:space="preserve">0.218</w:t>
                  </w:r>
                </w:p>
              </w:tc>
              <w:tc>
                <w:tcPr/>
                <w:p>
                  <w:pPr>
                    <w:pStyle w:val="Compact"/>
                    <w:jc w:val="left"/>
                    <w:jc w:val="center"/>
                  </w:pPr>
                  <w:r>
                    <w:t xml:space="preserve">0.198</w:t>
                  </w:r>
                </w:p>
              </w:tc>
              <w:tc>
                <w:tcPr/>
                <w:p>
                  <w:pPr>
                    <w:pStyle w:val="Compact"/>
                    <w:jc w:val="left"/>
                    <w:jc w:val="center"/>
                  </w:pPr>
                  <w:r>
                    <w:t xml:space="preserve">0.220</w:t>
                  </w:r>
                </w:p>
              </w:tc>
              <w:tc>
                <w:tcPr/>
                <w:p>
                  <w:pPr>
                    <w:pStyle w:val="Compact"/>
                    <w:jc w:val="left"/>
                    <w:jc w:val="center"/>
                  </w:pPr>
                  <w:r>
                    <w:t xml:space="preserve">0.014</w:t>
                  </w:r>
                </w:p>
              </w:tc>
            </w:tr>
            <w:tr>
              <w:tc>
                <w:tcPr/>
                <w:p>
                  <w:pPr>
                    <w:pStyle w:val="Compact"/>
                    <w:jc w:val="left"/>
                    <w:jc w:val="center"/>
                  </w:pPr>
                  <m:oMath>
                    <m:sSubSup>
                      <m:e>
                        <m:r>
                          <m:t>R</m:t>
                        </m:r>
                      </m:e>
                      <m:sub>
                        <m:r>
                          <m:t>c</m:t>
                        </m:r>
                      </m:sub>
                      <m:sup>
                        <m:r>
                          <m:t>2</m:t>
                        </m:r>
                      </m:sup>
                    </m:sSubSup>
                  </m:oMath>
                </w:p>
              </w:tc>
              <w:tc>
                <w:tcPr/>
                <w:p>
                  <w:pPr>
                    <w:pStyle w:val="Compact"/>
                    <w:jc w:val="left"/>
                    <w:jc w:val="center"/>
                  </w:pPr>
                  <w:r>
                    <w:t xml:space="preserve">0.358</w:t>
                  </w:r>
                </w:p>
              </w:tc>
              <w:tc>
                <w:tcPr/>
                <w:p>
                  <w:pPr>
                    <w:pStyle w:val="Compact"/>
                    <w:jc w:val="left"/>
                    <w:jc w:val="center"/>
                  </w:pPr>
                  <w:r>
                    <w:t xml:space="preserve">0.474</w:t>
                  </w:r>
                </w:p>
              </w:tc>
              <w:tc>
                <w:tcPr/>
                <w:p>
                  <w:pPr>
                    <w:pStyle w:val="Compact"/>
                    <w:jc w:val="left"/>
                    <w:jc w:val="center"/>
                  </w:pPr>
                  <w:r>
                    <w:t xml:space="preserve">0.365</w:t>
                  </w:r>
                </w:p>
              </w:tc>
              <w:tc>
                <w:tcPr/>
                <w:p>
                  <w:pPr>
                    <w:pStyle w:val="Compact"/>
                    <w:jc w:val="left"/>
                    <w:jc w:val="center"/>
                  </w:pPr>
                  <w:r>
                    <w:t xml:space="preserve">0.360</w:t>
                  </w:r>
                </w:p>
              </w:tc>
            </w:tr>
          </w:tbl>
          <w:bookmarkEnd w:id="52"/>
          <w:p/>
        </w:tc>
      </w:tr>
    </w:tbl>
    <w:p>
      <w:pPr>
        <w:pStyle w:val="BodyText"/>
      </w:pPr>
      <w:r>
        <w:t xml:space="preserve">The analysis for site-normalized yield showed that both the</w:t>
      </w:r>
      <w:r>
        <w:t xml:space="preserve"> </w:t>
      </w:r>
      <w:r>
        <w:rPr>
          <w:rStyle w:val="VerbatimChar"/>
        </w:rPr>
        <w:t xml:space="preserve">$P_{CO_2}$</w:t>
      </w:r>
      <w:r>
        <w:t xml:space="preserve"> </w:t>
      </w:r>
      <w:r>
        <w:t xml:space="preserve">and</w:t>
      </w:r>
      <w:r>
        <w:t xml:space="preserve"> </w:t>
      </w:r>
      <w:r>
        <w:rPr>
          <w:rStyle w:val="VerbatimChar"/>
        </w:rPr>
        <w:t xml:space="preserve">$P_{AAE10}$</w:t>
      </w:r>
      <w:r>
        <w:t xml:space="preserve"> </w:t>
      </w:r>
      <w:r>
        <w:t xml:space="preserve">models had highly significant coefficients and explained 21.8% and 19.8% of the variance, respectively. The combined STP-interaction model performed best, explaining 22% of the variance. In contrast, the kinetic model had a marginal R² of only 1.4%, and none of its parameters were statistically significant.</w:t>
      </w:r>
    </w:p>
    <w:bookmarkEnd w:id="53"/>
    <w:bookmarkStart w:id="56" w:name="Xe0b402b7183f6a3d6df8442ac2834a5544132c5"/>
    <w:p>
      <w:pPr>
        <w:pStyle w:val="Heading3"/>
      </w:pPr>
      <w:r>
        <w:t xml:space="preserve">1.5.3 Predicting National-Normalized Yield (</w:t>
      </w:r>
      <m:oMath>
        <m:sSub>
          <m:e>
            <m:r>
              <m:t>Y</m:t>
            </m:r>
          </m:e>
          <m:sub>
            <m:r>
              <m:t>r</m:t>
            </m:r>
            <m:r>
              <m:t>e</m:t>
            </m:r>
            <m:r>
              <m:t>l</m:t>
            </m:r>
          </m:sub>
        </m:sSub>
      </m:oMath>
      <w:r>
        <w:t xml:space="preserve">)</w:t>
      </w:r>
    </w:p>
    <w:p>
      <w:pPr>
        <w:pStyle w:val="FirstParagraph"/>
      </w:pPr>
      <w:r>
        <w:t xml:space="preserve">The models predicting national-normalized yield (</w:t>
      </w:r>
      <m:oMath>
        <m:sSub>
          <m:e>
            <m:r>
              <m:t>Y</m:t>
            </m:r>
          </m:e>
          <m:sub>
            <m:r>
              <m:t>r</m:t>
            </m:r>
            <m:r>
              <m:t>e</m:t>
            </m:r>
            <m:r>
              <m:t>l</m:t>
            </m:r>
          </m:sub>
        </m:sSub>
      </m:oMath>
      <w:r>
        <w:t xml:space="preserve">) reveal that both standard and kinetic soil phosphorus tests struggle to explain the variance in crop yields on their own, though standard tests show slightly better performance in this context.</w:t>
      </w:r>
    </w:p>
    <w:tbl>
      <w:tblPr>
        <w:tblStyle w:val="Table"/>
        <w:tblW w:type="pct" w:w="5000"/>
        <w:tblLayout w:type="fixed"/>
        <w:tblLook w:firstRow="0" w:lastRow="0" w:firstColumn="0" w:lastColumn="0" w:noHBand="0" w:noVBand="0" w:val="0000"/>
      </w:tblPr>
      <w:tblGrid>
        <w:gridCol w:w="7920"/>
      </w:tblGrid>
      <w:tr>
        <w:tc>
          <w:tcPr/>
          <w:bookmarkStart w:id="54" w:name="tbl-yrel-models"/>
          <w:p>
            <w:pPr>
              <w:jc w:val="center"/>
            </w:pPr>
            <w:pPr>
              <w:jc w:val="left"/>
              <w:spacing w:before="200"/>
              <w:pStyle w:val="ImageCaption"/>
            </w:pPr>
            <w:r>
              <w:t xml:space="preserve">Table 3: Results of linear mixed-effects models predicting National-Normalized Yield (</w:t>
            </w:r>
            <m:oMath>
              <m:sSub>
                <m:e>
                  <m:r>
                    <m:t>Y</m:t>
                  </m:r>
                </m:e>
                <m:sub>
                  <m:r>
                    <m:t>r</m:t>
                  </m:r>
                  <m:r>
                    <m:t>e</m:t>
                  </m:r>
                  <m:r>
                    <m:t>l</m:t>
                  </m:r>
                </m:sub>
              </m:sSub>
            </m:oMath>
            <w:r>
              <w:t xml:space="preserve">).</w:t>
            </w:r>
          </w:p>
          <w:tbl>
            <w:tblPr>
              <w:tblStyle w:val="Table"/>
              <w:tblW w:type="pct" w:w="5000"/>
              <w:tblLayout w:type="fixed"/>
              <w:tblLook w:firstRow="1" w:lastRow="0" w:firstColumn="0" w:lastColumn="0" w:noHBand="0" w:noVBand="0" w:val="0020"/>
            </w:tblPr>
            <w:tblGrid>
              <w:gridCol w:w="2879"/>
              <w:gridCol w:w="1131"/>
              <w:gridCol w:w="1234"/>
              <w:gridCol w:w="1645"/>
              <w:gridCol w:w="1028"/>
            </w:tblGrid>
            <w:tr>
              <w:trPr>
                <w:tblHeader w:val="on"/>
              </w:trPr>
              <w:tc>
                <w:tcPr/>
                <w:p>
                  <w:pPr>
                    <w:pStyle w:val="Compact"/>
                    <w:jc w:val="left"/>
                    <w:jc w:val="center"/>
                  </w:pPr>
                  <w:r>
                    <w:t xml:space="preserve">Predictor</w:t>
                  </w:r>
                </w:p>
              </w:tc>
              <w:tc>
                <w:tcPr/>
                <w:p>
                  <w:pPr>
                    <w:pStyle w:val="Compact"/>
                    <w:jc w:val="left"/>
                    <w:jc w:val="center"/>
                  </w:pPr>
                  <m:oMath>
                    <m:sSub>
                      <m:e>
                        <m:r>
                          <m:t>P</m:t>
                        </m:r>
                      </m:e>
                      <m:sub>
                        <m:r>
                          <m:t>C</m:t>
                        </m:r>
                        <m:sSub>
                          <m:e>
                            <m:r>
                              <m:t>O</m:t>
                            </m:r>
                          </m:e>
                          <m:sub>
                            <m:r>
                              <m:t>2</m:t>
                            </m:r>
                          </m:sub>
                        </m:sSub>
                      </m:sub>
                    </m:sSub>
                  </m:oMath>
                </w:p>
              </w:tc>
              <w:tc>
                <w:tcPr/>
                <w:p>
                  <w:pPr>
                    <w:pStyle w:val="Compact"/>
                    <w:jc w:val="left"/>
                    <w:jc w:val="center"/>
                  </w:pPr>
                  <m:oMath>
                    <m:sSub>
                      <m:e>
                        <m:r>
                          <m:t>P</m:t>
                        </m:r>
                      </m:e>
                      <m:sub>
                        <m:r>
                          <m:t>A</m:t>
                        </m:r>
                        <m:r>
                          <m:t>A</m:t>
                        </m:r>
                        <m:r>
                          <m:t>E</m:t>
                        </m:r>
                        <m:r>
                          <m:t>10</m:t>
                        </m:r>
                      </m:sub>
                    </m:sSub>
                  </m:oMath>
                </w:p>
              </w:tc>
              <w:tc>
                <w:tcPr/>
                <w:p>
                  <w:pPr>
                    <w:pStyle w:val="Compact"/>
                    <w:jc w:val="left"/>
                    <w:jc w:val="center"/>
                  </w:pPr>
                  <w:r>
                    <w:t xml:space="preserve">STP-interaction</w:t>
                  </w:r>
                </w:p>
              </w:tc>
              <w:tc>
                <w:tcPr/>
                <w:p>
                  <w:pPr>
                    <w:pStyle w:val="Compact"/>
                    <w:jc w:val="left"/>
                    <w:jc w:val="center"/>
                  </w:pPr>
                  <w:r>
                    <w:t xml:space="preserve">kinetic</w:t>
                  </w:r>
                </w:p>
              </w:tc>
            </w:tr>
            <w:tr>
              <w:tc>
                <w:tcPr/>
                <w:p>
                  <w:pPr>
                    <w:pStyle w:val="Compact"/>
                    <w:jc w:val="left"/>
                    <w:jc w:val="center"/>
                  </w:pPr>
                  <w:r>
                    <w:t xml:space="preserve">Intercept</w:t>
                  </w:r>
                </w:p>
              </w:tc>
              <w:tc>
                <w:tcPr/>
                <w:p>
                  <w:pPr>
                    <w:pStyle w:val="Compact"/>
                    <w:jc w:val="left"/>
                    <w:jc w:val="center"/>
                  </w:pPr>
                  <w:r>
                    <w:t xml:space="preserve">104.862***</w:t>
                  </w:r>
                </w:p>
              </w:tc>
              <w:tc>
                <w:tcPr/>
                <w:p>
                  <w:pPr>
                    <w:pStyle w:val="Compact"/>
                    <w:jc w:val="left"/>
                    <w:jc w:val="center"/>
                  </w:pPr>
                  <w:r>
                    <w:t xml:space="preserve">75.343***</w:t>
                  </w:r>
                </w:p>
              </w:tc>
              <w:tc>
                <w:tcPr/>
                <w:p>
                  <w:pPr>
                    <w:pStyle w:val="Compact"/>
                    <w:jc w:val="left"/>
                    <w:jc w:val="center"/>
                  </w:pPr>
                  <w:r>
                    <w:t xml:space="preserve">130.274***</w:t>
                  </w:r>
                </w:p>
              </w:tc>
              <w:tc>
                <w:tcPr/>
                <w:p>
                  <w:pPr>
                    <w:pStyle w:val="Compact"/>
                    <w:jc w:val="left"/>
                    <w:jc w:val="center"/>
                  </w:pPr>
                  <w:r>
                    <w:t xml:space="preserve">56.375</w:t>
                  </w:r>
                </w:p>
              </w:tc>
            </w:tr>
            <w:tr>
              <w:tc>
                <w:tcPr/>
                <w:p>
                  <w:pPr>
                    <w:pStyle w:val="Compact"/>
                    <w:jc w:val="left"/>
                    <w:jc w:val="center"/>
                  </w:pPr>
                  <m:oMath>
                    <m:r>
                      <m:t>k</m:t>
                    </m:r>
                  </m:oMath>
                </w:p>
              </w:tc>
              <w:tc>
                <w:tcPr/>
                <w:p>
                  <w:pPr>
                    <w:pStyle w:val="Compact"/>
                  </w:pPr>
                </w:p>
              </w:tc>
              <w:tc>
                <w:tcPr/>
                <w:p>
                  <w:pPr>
                    <w:pStyle w:val="Compact"/>
                  </w:pPr>
                </w:p>
              </w:tc>
              <w:tc>
                <w:tcPr/>
                <w:p>
                  <w:pPr>
                    <w:pStyle w:val="Compact"/>
                  </w:pPr>
                </w:p>
              </w:tc>
              <w:tc>
                <w:tcPr/>
                <w:p>
                  <w:pPr>
                    <w:pStyle w:val="Compact"/>
                    <w:jc w:val="left"/>
                    <w:jc w:val="center"/>
                  </w:pPr>
                  <w:r>
                    <w:t xml:space="preserve">377.498**</w:t>
                  </w:r>
                </w:p>
              </w:tc>
            </w:tr>
            <w:tr>
              <w:tc>
                <w:tcPr/>
                <w:p>
                  <w:pPr>
                    <w:pStyle w:val="Compact"/>
                    <w:jc w:val="left"/>
                    <w:jc w:val="center"/>
                  </w:pPr>
                  <m:oMath>
                    <m:sSub>
                      <m:e>
                        <m:r>
                          <m:t>J</m:t>
                        </m:r>
                      </m:e>
                      <m:sub>
                        <m:r>
                          <m:t>0</m:t>
                        </m:r>
                      </m:sub>
                    </m:sSub>
                  </m:oMath>
                </w:p>
              </w:tc>
              <w:tc>
                <w:tcPr/>
                <w:p>
                  <w:pPr>
                    <w:pStyle w:val="Compact"/>
                  </w:pPr>
                </w:p>
              </w:tc>
              <w:tc>
                <w:tcPr/>
                <w:p>
                  <w:pPr>
                    <w:pStyle w:val="Compact"/>
                  </w:pPr>
                </w:p>
              </w:tc>
              <w:tc>
                <w:tcPr/>
                <w:p>
                  <w:pPr>
                    <w:pStyle w:val="Compact"/>
                  </w:pPr>
                </w:p>
              </w:tc>
              <w:tc>
                <w:tcPr/>
                <w:p>
                  <w:pPr>
                    <w:pStyle w:val="Compact"/>
                    <w:jc w:val="left"/>
                    <w:jc w:val="center"/>
                  </w:pPr>
                  <w:r>
                    <w:t xml:space="preserve">171.507**</w:t>
                  </w:r>
                </w:p>
              </w:tc>
            </w:tr>
            <w:tr>
              <w:tc>
                <w:tcPr/>
                <w:p>
                  <w:pPr>
                    <w:pStyle w:val="Compact"/>
                    <w:jc w:val="left"/>
                    <w:jc w:val="center"/>
                  </w:pPr>
                  <m:oMath>
                    <m:sSub>
                      <m:e>
                        <m:r>
                          <m:t>P</m:t>
                        </m:r>
                      </m:e>
                      <m:sub>
                        <m:r>
                          <m:t>d</m:t>
                        </m:r>
                        <m:r>
                          <m:t>e</m:t>
                        </m:r>
                        <m:r>
                          <m:t>s</m:t>
                        </m:r>
                        <m:r>
                          <m:t>o</m:t>
                        </m:r>
                        <m:r>
                          <m:t>r</m:t>
                        </m:r>
                        <m:r>
                          <m:t>b</m:t>
                        </m:r>
                      </m:sub>
                    </m:sSub>
                  </m:oMath>
                </w:p>
              </w:tc>
              <w:tc>
                <w:tcPr/>
                <w:p>
                  <w:pPr>
                    <w:pStyle w:val="Compact"/>
                  </w:pPr>
                </w:p>
              </w:tc>
              <w:tc>
                <w:tcPr/>
                <w:p>
                  <w:pPr>
                    <w:pStyle w:val="Compact"/>
                  </w:pPr>
                </w:p>
              </w:tc>
              <w:tc>
                <w:tcPr/>
                <w:p>
                  <w:pPr>
                    <w:pStyle w:val="Compact"/>
                  </w:pPr>
                </w:p>
              </w:tc>
              <w:tc>
                <w:tcPr/>
                <w:p>
                  <w:pPr>
                    <w:pStyle w:val="Compact"/>
                    <w:jc w:val="left"/>
                    <w:jc w:val="center"/>
                  </w:pPr>
                  <w:r>
                    <w:t xml:space="preserve">-27.486*</w:t>
                  </w:r>
                </w:p>
              </w:tc>
            </w:tr>
            <w:tr>
              <w:tc>
                <w:tcPr/>
                <w:p>
                  <w:pPr>
                    <w:pStyle w:val="Compact"/>
                    <w:jc w:val="left"/>
                    <w:jc w:val="center"/>
                  </w:pPr>
                  <m:oMath>
                    <m:sSub>
                      <m:e>
                        <m:r>
                          <m:t>P</m:t>
                        </m:r>
                      </m:e>
                      <m:sub>
                        <m:r>
                          <m:t>A</m:t>
                        </m:r>
                        <m:r>
                          <m:t>A</m:t>
                        </m:r>
                        <m:r>
                          <m:t>E</m:t>
                        </m:r>
                        <m:r>
                          <m:t>10</m:t>
                        </m:r>
                      </m:sub>
                    </m:sSub>
                  </m:oMath>
                </w:p>
              </w:tc>
              <w:tc>
                <w:tcPr/>
                <w:p>
                  <w:pPr>
                    <w:pStyle w:val="Compact"/>
                  </w:pPr>
                </w:p>
              </w:tc>
              <w:tc>
                <w:tcPr/>
                <w:p>
                  <w:pPr>
                    <w:pStyle w:val="Compact"/>
                    <w:jc w:val="left"/>
                    <w:jc w:val="center"/>
                  </w:pPr>
                  <w:r>
                    <w:t xml:space="preserve">7.111**</w:t>
                  </w:r>
                </w:p>
              </w:tc>
              <w:tc>
                <w:tcPr/>
                <w:p>
                  <w:pPr>
                    <w:pStyle w:val="Compact"/>
                    <w:jc w:val="left"/>
                    <w:jc w:val="center"/>
                  </w:pPr>
                  <w:r>
                    <w:t xml:space="preserve">-6.537</w:t>
                  </w:r>
                </w:p>
              </w:tc>
              <w:tc>
                <w:tcPr/>
                <w:p>
                  <w:pPr>
                    <w:pStyle w:val="Compact"/>
                  </w:pPr>
                </w:p>
              </w:tc>
            </w:tr>
            <w:tr>
              <w:tc>
                <w:tcPr/>
                <w:p>
                  <w:pPr>
                    <w:pStyle w:val="Compact"/>
                    <w:jc w:val="left"/>
                    <w:jc w:val="center"/>
                  </w:pPr>
                  <m:oMath>
                    <m:sSub>
                      <m:e>
                        <m:r>
                          <m:t>P</m:t>
                        </m:r>
                      </m:e>
                      <m:sub>
                        <m:r>
                          <m:t>C</m:t>
                        </m:r>
                        <m:sSub>
                          <m:e>
                            <m:r>
                              <m:t>O</m:t>
                            </m:r>
                          </m:e>
                          <m:sub>
                            <m:r>
                              <m:t>2</m:t>
                            </m:r>
                          </m:sub>
                        </m:sSub>
                      </m:sub>
                    </m:sSub>
                  </m:oMath>
                </w:p>
              </w:tc>
              <w:tc>
                <w:tcPr/>
                <w:p>
                  <w:pPr>
                    <w:pStyle w:val="Compact"/>
                    <w:jc w:val="left"/>
                    <w:jc w:val="center"/>
                  </w:pPr>
                  <w:r>
                    <w:t xml:space="preserve">8.853**</w:t>
                  </w:r>
                </w:p>
              </w:tc>
              <w:tc>
                <w:tcPr/>
                <w:p>
                  <w:pPr>
                    <w:pStyle w:val="Compact"/>
                  </w:pPr>
                </w:p>
              </w:tc>
              <w:tc>
                <w:tcPr/>
                <w:p>
                  <w:pPr>
                    <w:pStyle w:val="Compact"/>
                    <w:jc w:val="left"/>
                    <w:jc w:val="center"/>
                  </w:pPr>
                  <w:r>
                    <w:t xml:space="preserve">23.091</w:t>
                  </w:r>
                </w:p>
              </w:tc>
              <w:tc>
                <w:tcPr/>
                <w:p>
                  <w:pPr>
                    <w:pStyle w:val="Compact"/>
                  </w:pPr>
                </w:p>
              </w:tc>
            </w:tr>
            <w:tr>
              <w:tc>
                <w:tcPr/>
                <w:p>
                  <w:pPr>
                    <w:pStyle w:val="Compact"/>
                    <w:jc w:val="left"/>
                    <w:jc w:val="center"/>
                  </w:pPr>
                  <m:oMath>
                    <m:sSub>
                      <m:e>
                        <m:r>
                          <m:t>P</m:t>
                        </m:r>
                      </m:e>
                      <m:sub>
                        <m:r>
                          <m:t>C</m:t>
                        </m:r>
                        <m:sSub>
                          <m:e>
                            <m:r>
                              <m:t>O</m:t>
                            </m:r>
                          </m:e>
                          <m:sub>
                            <m:r>
                              <m:t>2</m:t>
                            </m:r>
                          </m:sub>
                        </m:sSub>
                      </m:sub>
                    </m:sSub>
                    <m:r>
                      <m:rPr>
                        <m:sty m:val="p"/>
                      </m:rPr>
                      <m:t>×</m:t>
                    </m:r>
                    <m:sSub>
                      <m:e>
                        <m:r>
                          <m:t>P</m:t>
                        </m:r>
                      </m:e>
                      <m:sub>
                        <m:r>
                          <m:t>A</m:t>
                        </m:r>
                        <m:r>
                          <m:t>A</m:t>
                        </m:r>
                        <m:r>
                          <m:t>E</m:t>
                        </m:r>
                        <m:r>
                          <m:t>10</m:t>
                        </m:r>
                      </m:sub>
                    </m:sSub>
                  </m:oMath>
                </w:p>
              </w:tc>
              <w:tc>
                <w:tcPr/>
                <w:p>
                  <w:pPr>
                    <w:pStyle w:val="Compact"/>
                  </w:pPr>
                </w:p>
              </w:tc>
              <w:tc>
                <w:tcPr/>
                <w:p>
                  <w:pPr>
                    <w:pStyle w:val="Compact"/>
                  </w:pPr>
                </w:p>
              </w:tc>
              <w:tc>
                <w:tcPr/>
                <w:p>
                  <w:pPr>
                    <w:pStyle w:val="Compact"/>
                    <w:jc w:val="left"/>
                    <w:jc w:val="center"/>
                  </w:pPr>
                  <w:r>
                    <w:t xml:space="preserve">-3.110</w:t>
                  </w:r>
                </w:p>
              </w:tc>
              <w:tc>
                <w:tcPr/>
                <w:p>
                  <w:pPr>
                    <w:pStyle w:val="Compact"/>
                  </w:pPr>
                </w:p>
              </w:tc>
            </w:tr>
            <w:tr>
              <w:tc>
                <w:tcPr/>
                <w:p>
                  <w:pPr>
                    <w:pStyle w:val="Compact"/>
                    <w:jc w:val="left"/>
                    <w:jc w:val="center"/>
                  </w:pPr>
                  <m:oMath>
                    <m:sSubSup>
                      <m:e>
                        <m:r>
                          <m:t>R</m:t>
                        </m:r>
                      </m:e>
                      <m:sub>
                        <m:r>
                          <m:t>m</m:t>
                        </m:r>
                      </m:sub>
                      <m:sup>
                        <m:r>
                          <m:t>2</m:t>
                        </m:r>
                      </m:sup>
                    </m:sSubSup>
                  </m:oMath>
                </w:p>
              </w:tc>
              <w:tc>
                <w:tcPr/>
                <w:p>
                  <w:pPr>
                    <w:pStyle w:val="Compact"/>
                    <w:jc w:val="left"/>
                    <w:jc w:val="center"/>
                  </w:pPr>
                  <w:r>
                    <w:t xml:space="preserve">0.074</w:t>
                  </w:r>
                </w:p>
              </w:tc>
              <w:tc>
                <w:tcPr/>
                <w:p>
                  <w:pPr>
                    <w:pStyle w:val="Compact"/>
                    <w:jc w:val="left"/>
                    <w:jc w:val="center"/>
                  </w:pPr>
                  <w:r>
                    <w:t xml:space="preserve">0.063</w:t>
                  </w:r>
                </w:p>
              </w:tc>
              <w:tc>
                <w:tcPr/>
                <w:p>
                  <w:pPr>
                    <w:pStyle w:val="Compact"/>
                    <w:jc w:val="left"/>
                    <w:jc w:val="center"/>
                  </w:pPr>
                  <w:r>
                    <w:t xml:space="preserve">0.078</w:t>
                  </w:r>
                </w:p>
              </w:tc>
              <w:tc>
                <w:tcPr/>
                <w:p>
                  <w:pPr>
                    <w:pStyle w:val="Compact"/>
                    <w:jc w:val="left"/>
                    <w:jc w:val="center"/>
                  </w:pPr>
                  <w:r>
                    <w:t xml:space="preserve">0.022</w:t>
                  </w:r>
                </w:p>
              </w:tc>
            </w:tr>
            <w:tr>
              <w:tc>
                <w:tcPr/>
                <w:p>
                  <w:pPr>
                    <w:pStyle w:val="Compact"/>
                    <w:jc w:val="left"/>
                    <w:jc w:val="center"/>
                  </w:pPr>
                  <m:oMath>
                    <m:sSubSup>
                      <m:e>
                        <m:r>
                          <m:t>R</m:t>
                        </m:r>
                      </m:e>
                      <m:sub>
                        <m:r>
                          <m:t>c</m:t>
                        </m:r>
                      </m:sub>
                      <m:sup>
                        <m:r>
                          <m:t>2</m:t>
                        </m:r>
                      </m:sup>
                    </m:sSubSup>
                  </m:oMath>
                </w:p>
              </w:tc>
              <w:tc>
                <w:tcPr/>
                <w:p>
                  <w:pPr>
                    <w:pStyle w:val="Compact"/>
                    <w:jc w:val="left"/>
                    <w:jc w:val="center"/>
                  </w:pPr>
                  <w:r>
                    <w:t xml:space="preserve">0.569</w:t>
                  </w:r>
                </w:p>
              </w:tc>
              <w:tc>
                <w:tcPr/>
                <w:p>
                  <w:pPr>
                    <w:pStyle w:val="Compact"/>
                    <w:jc w:val="left"/>
                    <w:jc w:val="center"/>
                  </w:pPr>
                  <w:r>
                    <w:t xml:space="preserve">0.537</w:t>
                  </w:r>
                </w:p>
              </w:tc>
              <w:tc>
                <w:tcPr/>
                <w:p>
                  <w:pPr>
                    <w:pStyle w:val="Compact"/>
                    <w:jc w:val="left"/>
                    <w:jc w:val="center"/>
                  </w:pPr>
                  <w:r>
                    <w:t xml:space="preserve">0.596</w:t>
                  </w:r>
                </w:p>
              </w:tc>
              <w:tc>
                <w:tcPr/>
                <w:p>
                  <w:pPr>
                    <w:pStyle w:val="Compact"/>
                    <w:jc w:val="left"/>
                    <w:jc w:val="center"/>
                  </w:pPr>
                  <w:r>
                    <w:t xml:space="preserve">0.439</w:t>
                  </w:r>
                </w:p>
              </w:tc>
            </w:tr>
          </w:tbl>
          <w:bookmarkEnd w:id="54"/>
          <w:p/>
        </w:tc>
      </w:tr>
    </w:tbl>
    <w:bookmarkStart w:id="55" w:name="performance-of-standard-stp-methods"/>
    <w:p>
      <w:pPr>
        <w:pStyle w:val="Heading4"/>
      </w:pPr>
      <w:r>
        <w:t xml:space="preserve">1.5.3.1 Performance of Standard STP Methods</w:t>
      </w:r>
    </w:p>
    <w:p>
      <w:pPr>
        <w:pStyle w:val="FirstParagraph"/>
      </w:pPr>
      <w:r>
        <w:t xml:space="preserve">The models based on standard soil tests,</w:t>
      </w:r>
      <w:r>
        <w:t xml:space="preserve"> </w:t>
      </w:r>
      <w:r>
        <w:rPr>
          <w:rStyle w:val="VerbatimChar"/>
        </w:rPr>
        <w:t xml:space="preserve">$P_{CO_2}$</w:t>
      </w:r>
      <w:r>
        <w:t xml:space="preserve"> </w:t>
      </w:r>
      <w:r>
        <w:t xml:space="preserve">and</w:t>
      </w:r>
      <w:r>
        <w:t xml:space="preserve"> </w:t>
      </w:r>
      <w:r>
        <w:rPr>
          <w:rStyle w:val="VerbatimChar"/>
        </w:rPr>
        <w:t xml:space="preserve">$P_{AAE10}$</w:t>
      </w:r>
      <w:r>
        <w:t xml:space="preserve">, were significant predictors, explaining 7.4% and 6.3% of the variance in yield, respectively. The model including their interaction term performed slightly better, explaining 7.8% of the variance. The model based on kinetic parameters demonstrated lower predictive power, with a marginal R² of 2.2%. A critical observation across all models is the large discrepancy between the marginal R² (</w:t>
      </w:r>
      <m:oMath>
        <m:sSubSup>
          <m:e>
            <m:r>
              <m:t>R</m:t>
            </m:r>
          </m:e>
          <m:sub>
            <m:r>
              <m:t>m</m:t>
            </m:r>
          </m:sub>
          <m:sup>
            <m:r>
              <m:t>2</m:t>
            </m:r>
          </m:sup>
        </m:sSubSup>
      </m:oMath>
      <w:r>
        <w:t xml:space="preserve">) and the conditional R² (</w:t>
      </w:r>
      <m:oMath>
        <m:sSubSup>
          <m:e>
            <m:r>
              <m:t>R</m:t>
            </m:r>
          </m:e>
          <m:sub>
            <m:r>
              <m:t>c</m:t>
            </m:r>
          </m:sub>
          <m:sup>
            <m:r>
              <m:t>2</m:t>
            </m:r>
          </m:sup>
        </m:sSubSup>
      </m:oMath>
      <w:r>
        <w:t xml:space="preserve">). For instance, in the best-performing STP model, the marginal R² is only 0.078, but the conditional R² is 0.596.</w:t>
      </w:r>
    </w:p>
    <w:bookmarkEnd w:id="55"/>
    <w:bookmarkEnd w:id="56"/>
    <w:bookmarkStart w:id="58" w:name="predicting-p-uptake-p_up"/>
    <w:p>
      <w:pPr>
        <w:pStyle w:val="Heading3"/>
      </w:pPr>
      <w:r>
        <w:t xml:space="preserve">1.5.4 Predicting P-Uptake (</w:t>
      </w:r>
      <m:oMath>
        <m:sSub>
          <m:e>
            <m:r>
              <m:t>P</m:t>
            </m:r>
          </m:e>
          <m:sub>
            <m:r>
              <m:t>u</m:t>
            </m:r>
            <m:r>
              <m:t>p</m:t>
            </m:r>
          </m:sub>
        </m:sSub>
      </m:oMath>
      <w:r>
        <w:t xml:space="preserve">)</w:t>
      </w:r>
    </w:p>
    <w:p>
      <w:pPr>
        <w:pStyle w:val="FirstParagraph"/>
      </w:pPr>
      <w:r>
        <w:t xml:space="preserve">When predicting P-uptake, both the standard and kinetic models demonstrate similarly weak predictive power, with none of the approaches standing out as superior.</w:t>
      </w:r>
    </w:p>
    <w:tbl>
      <w:tblPr>
        <w:tblStyle w:val="Table"/>
        <w:tblW w:type="pct" w:w="5000"/>
        <w:tblLayout w:type="fixed"/>
        <w:tblLook w:firstRow="0" w:lastRow="0" w:firstColumn="0" w:lastColumn="0" w:noHBand="0" w:noVBand="0" w:val="0000"/>
      </w:tblPr>
      <w:tblGrid>
        <w:gridCol w:w="7920"/>
      </w:tblGrid>
      <w:tr>
        <w:tc>
          <w:tcPr/>
          <w:bookmarkStart w:id="57" w:name="tbl-pexport-models"/>
          <w:p>
            <w:pPr>
              <w:jc w:val="center"/>
            </w:pPr>
            <w:pPr>
              <w:jc w:val="left"/>
              <w:spacing w:before="200"/>
              <w:pStyle w:val="ImageCaption"/>
            </w:pPr>
            <w:r>
              <w:t xml:space="preserve">Table 4: Results of linear mixed-effects models predicting P-Export (</w:t>
            </w:r>
            <m:oMath>
              <m:sSub>
                <m:e>
                  <m:r>
                    <m:t>P</m:t>
                  </m:r>
                </m:e>
                <m:sub>
                  <m:r>
                    <m:t>u</m:t>
                  </m:r>
                  <m:r>
                    <m:t>p</m:t>
                  </m:r>
                </m:sub>
              </m:sSub>
            </m:oMath>
            <w:r>
              <w:t xml:space="preserve">).</w:t>
            </w:r>
          </w:p>
          <w:tbl>
            <w:tblPr>
              <w:tblStyle w:val="Table"/>
              <w:tblW w:type="pct" w:w="5000"/>
              <w:tblLayout w:type="fixed"/>
              <w:tblLook w:firstRow="1" w:lastRow="0" w:firstColumn="0" w:lastColumn="0" w:noHBand="0" w:noVBand="0" w:val="0020"/>
            </w:tblPr>
            <w:tblGrid>
              <w:gridCol w:w="2879"/>
              <w:gridCol w:w="1131"/>
              <w:gridCol w:w="1234"/>
              <w:gridCol w:w="1645"/>
              <w:gridCol w:w="1028"/>
            </w:tblGrid>
            <w:tr>
              <w:trPr>
                <w:tblHeader w:val="on"/>
              </w:trPr>
              <w:tc>
                <w:tcPr/>
                <w:p>
                  <w:pPr>
                    <w:pStyle w:val="Compact"/>
                    <w:jc w:val="left"/>
                    <w:jc w:val="center"/>
                  </w:pPr>
                  <w:r>
                    <w:t xml:space="preserve">Predictor</w:t>
                  </w:r>
                </w:p>
              </w:tc>
              <w:tc>
                <w:tcPr/>
                <w:p>
                  <w:pPr>
                    <w:pStyle w:val="Compact"/>
                    <w:jc w:val="left"/>
                    <w:jc w:val="center"/>
                  </w:pPr>
                  <m:oMath>
                    <m:sSub>
                      <m:e>
                        <m:r>
                          <m:t>P</m:t>
                        </m:r>
                      </m:e>
                      <m:sub>
                        <m:r>
                          <m:t>C</m:t>
                        </m:r>
                        <m:sSub>
                          <m:e>
                            <m:r>
                              <m:t>O</m:t>
                            </m:r>
                          </m:e>
                          <m:sub>
                            <m:r>
                              <m:t>2</m:t>
                            </m:r>
                          </m:sub>
                        </m:sSub>
                      </m:sub>
                    </m:sSub>
                  </m:oMath>
                </w:p>
              </w:tc>
              <w:tc>
                <w:tcPr/>
                <w:p>
                  <w:pPr>
                    <w:pStyle w:val="Compact"/>
                    <w:jc w:val="left"/>
                    <w:jc w:val="center"/>
                  </w:pPr>
                  <m:oMath>
                    <m:sSub>
                      <m:e>
                        <m:r>
                          <m:t>P</m:t>
                        </m:r>
                      </m:e>
                      <m:sub>
                        <m:r>
                          <m:t>A</m:t>
                        </m:r>
                        <m:r>
                          <m:t>A</m:t>
                        </m:r>
                        <m:r>
                          <m:t>E</m:t>
                        </m:r>
                        <m:r>
                          <m:t>10</m:t>
                        </m:r>
                      </m:sub>
                    </m:sSub>
                  </m:oMath>
                </w:p>
              </w:tc>
              <w:tc>
                <w:tcPr/>
                <w:p>
                  <w:pPr>
                    <w:pStyle w:val="Compact"/>
                    <w:jc w:val="left"/>
                    <w:jc w:val="center"/>
                  </w:pPr>
                  <w:r>
                    <w:t xml:space="preserve">STP-interaction</w:t>
                  </w:r>
                </w:p>
              </w:tc>
              <w:tc>
                <w:tcPr/>
                <w:p>
                  <w:pPr>
                    <w:pStyle w:val="Compact"/>
                    <w:jc w:val="left"/>
                    <w:jc w:val="center"/>
                  </w:pPr>
                  <w:r>
                    <w:t xml:space="preserve">kinetic</w:t>
                  </w:r>
                </w:p>
              </w:tc>
            </w:tr>
            <w:tr>
              <w:tc>
                <w:tcPr/>
                <w:p>
                  <w:pPr>
                    <w:pStyle w:val="Compact"/>
                    <w:jc w:val="left"/>
                    <w:jc w:val="center"/>
                  </w:pPr>
                  <w:r>
                    <w:t xml:space="preserve">Intercept</w:t>
                  </w:r>
                </w:p>
              </w:tc>
              <w:tc>
                <w:tcPr/>
                <w:p>
                  <w:pPr>
                    <w:pStyle w:val="Compact"/>
                    <w:jc w:val="left"/>
                    <w:jc w:val="center"/>
                  </w:pPr>
                  <w:r>
                    <w:t xml:space="preserve">27.522***</w:t>
                  </w:r>
                </w:p>
              </w:tc>
              <w:tc>
                <w:tcPr/>
                <w:p>
                  <w:pPr>
                    <w:pStyle w:val="Compact"/>
                    <w:jc w:val="left"/>
                    <w:jc w:val="center"/>
                  </w:pPr>
                  <w:r>
                    <w:t xml:space="preserve">8.090</w:t>
                  </w:r>
                </w:p>
              </w:tc>
              <w:tc>
                <w:tcPr/>
                <w:p>
                  <w:pPr>
                    <w:pStyle w:val="Compact"/>
                    <w:jc w:val="left"/>
                    <w:jc w:val="center"/>
                  </w:pPr>
                  <w:r>
                    <w:t xml:space="preserve">30.632*</w:t>
                  </w:r>
                </w:p>
              </w:tc>
              <w:tc>
                <w:tcPr/>
                <w:p>
                  <w:pPr>
                    <w:pStyle w:val="Compact"/>
                    <w:jc w:val="left"/>
                    <w:jc w:val="center"/>
                  </w:pPr>
                  <w:r>
                    <w:t xml:space="preserve">29.599***</w:t>
                  </w:r>
                </w:p>
              </w:tc>
            </w:tr>
            <w:tr>
              <w:tc>
                <w:tcPr/>
                <w:p>
                  <w:pPr>
                    <w:pStyle w:val="Compact"/>
                    <w:jc w:val="left"/>
                    <w:jc w:val="center"/>
                  </w:pPr>
                  <m:oMath>
                    <m:r>
                      <m:t>k</m:t>
                    </m:r>
                  </m:oMath>
                </w:p>
              </w:tc>
              <w:tc>
                <w:tcPr/>
                <w:p>
                  <w:pPr>
                    <w:pStyle w:val="Compact"/>
                  </w:pPr>
                </w:p>
              </w:tc>
              <w:tc>
                <w:tcPr/>
                <w:p>
                  <w:pPr>
                    <w:pStyle w:val="Compact"/>
                  </w:pPr>
                </w:p>
              </w:tc>
              <w:tc>
                <w:tcPr/>
                <w:p>
                  <w:pPr>
                    <w:pStyle w:val="Compact"/>
                  </w:pPr>
                </w:p>
              </w:tc>
              <w:tc>
                <w:tcPr/>
                <w:p>
                  <w:pPr>
                    <w:pStyle w:val="Compact"/>
                    <w:jc w:val="left"/>
                    <w:jc w:val="center"/>
                  </w:pPr>
                  <w:r>
                    <w:t xml:space="preserve">22.622</w:t>
                  </w:r>
                </w:p>
              </w:tc>
            </w:tr>
            <w:tr>
              <w:tc>
                <w:tcPr/>
                <w:p>
                  <w:pPr>
                    <w:pStyle w:val="Compact"/>
                    <w:jc w:val="left"/>
                    <w:jc w:val="center"/>
                  </w:pPr>
                  <m:oMath>
                    <m:sSub>
                      <m:e>
                        <m:r>
                          <m:t>J</m:t>
                        </m:r>
                      </m:e>
                      <m:sub>
                        <m:r>
                          <m:t>0</m:t>
                        </m:r>
                      </m:sub>
                    </m:sSub>
                  </m:oMath>
                </w:p>
              </w:tc>
              <w:tc>
                <w:tcPr/>
                <w:p>
                  <w:pPr>
                    <w:pStyle w:val="Compact"/>
                  </w:pPr>
                </w:p>
              </w:tc>
              <w:tc>
                <w:tcPr/>
                <w:p>
                  <w:pPr>
                    <w:pStyle w:val="Compact"/>
                  </w:pPr>
                </w:p>
              </w:tc>
              <w:tc>
                <w:tcPr/>
                <w:p>
                  <w:pPr>
                    <w:pStyle w:val="Compact"/>
                  </w:pPr>
                </w:p>
              </w:tc>
              <w:tc>
                <w:tcPr/>
                <w:p>
                  <w:pPr>
                    <w:pStyle w:val="Compact"/>
                    <w:jc w:val="left"/>
                    <w:jc w:val="center"/>
                  </w:pPr>
                  <w:r>
                    <w:t xml:space="preserve">11.928</w:t>
                  </w:r>
                </w:p>
              </w:tc>
            </w:tr>
            <w:tr>
              <w:tc>
                <w:tcPr/>
                <w:p>
                  <w:pPr>
                    <w:pStyle w:val="Compact"/>
                    <w:jc w:val="left"/>
                    <w:jc w:val="center"/>
                  </w:pPr>
                  <m:oMath>
                    <m:sSub>
                      <m:e>
                        <m:r>
                          <m:t>P</m:t>
                        </m:r>
                      </m:e>
                      <m:sub>
                        <m:r>
                          <m:t>d</m:t>
                        </m:r>
                        <m:r>
                          <m:t>e</m:t>
                        </m:r>
                        <m:r>
                          <m:t>s</m:t>
                        </m:r>
                        <m:r>
                          <m:t>o</m:t>
                        </m:r>
                        <m:r>
                          <m:t>r</m:t>
                        </m:r>
                        <m:r>
                          <m:t>b</m:t>
                        </m:r>
                      </m:sub>
                    </m:sSub>
                  </m:oMath>
                </w:p>
              </w:tc>
              <w:tc>
                <w:tcPr/>
                <w:p>
                  <w:pPr>
                    <w:pStyle w:val="Compact"/>
                  </w:pPr>
                </w:p>
              </w:tc>
              <w:tc>
                <w:tcPr/>
                <w:p>
                  <w:pPr>
                    <w:pStyle w:val="Compact"/>
                  </w:pPr>
                </w:p>
              </w:tc>
              <w:tc>
                <w:tcPr/>
                <w:p>
                  <w:pPr>
                    <w:pStyle w:val="Compact"/>
                  </w:pPr>
                </w:p>
              </w:tc>
              <w:tc>
                <w:tcPr/>
                <w:p>
                  <w:pPr>
                    <w:pStyle w:val="Compact"/>
                    <w:jc w:val="left"/>
                    <w:jc w:val="center"/>
                  </w:pPr>
                  <w:r>
                    <w:t xml:space="preserve">1.954</w:t>
                  </w:r>
                </w:p>
              </w:tc>
            </w:tr>
            <w:tr>
              <w:tc>
                <w:tcPr/>
                <w:p>
                  <w:pPr>
                    <w:pStyle w:val="Compact"/>
                    <w:jc w:val="left"/>
                    <w:jc w:val="center"/>
                  </w:pPr>
                  <m:oMath>
                    <m:sSub>
                      <m:e>
                        <m:r>
                          <m:t>P</m:t>
                        </m:r>
                      </m:e>
                      <m:sub>
                        <m:r>
                          <m:t>A</m:t>
                        </m:r>
                        <m:r>
                          <m:t>A</m:t>
                        </m:r>
                        <m:r>
                          <m:t>E</m:t>
                        </m:r>
                        <m:r>
                          <m:t>10</m:t>
                        </m:r>
                      </m:sub>
                    </m:sSub>
                  </m:oMath>
                </w:p>
              </w:tc>
              <w:tc>
                <w:tcPr/>
                <w:p>
                  <w:pPr>
                    <w:pStyle w:val="Compact"/>
                  </w:pPr>
                </w:p>
              </w:tc>
              <w:tc>
                <w:tcPr/>
                <w:p>
                  <w:pPr>
                    <w:pStyle w:val="Compact"/>
                    <w:jc w:val="left"/>
                    <w:jc w:val="center"/>
                  </w:pPr>
                  <w:r>
                    <w:t xml:space="preserve">4.824***</w:t>
                  </w:r>
                </w:p>
              </w:tc>
              <w:tc>
                <w:tcPr/>
                <w:p>
                  <w:pPr>
                    <w:pStyle w:val="Compact"/>
                    <w:jc w:val="left"/>
                    <w:jc w:val="center"/>
                  </w:pPr>
                  <w:r>
                    <w:t xml:space="preserve">-0.805</w:t>
                  </w:r>
                </w:p>
              </w:tc>
              <w:tc>
                <w:tcPr/>
                <w:p>
                  <w:pPr>
                    <w:pStyle w:val="Compact"/>
                  </w:pPr>
                </w:p>
              </w:tc>
            </w:tr>
            <w:tr>
              <w:tc>
                <w:tcPr/>
                <w:p>
                  <w:pPr>
                    <w:pStyle w:val="Compact"/>
                    <w:jc w:val="left"/>
                    <w:jc w:val="center"/>
                  </w:pPr>
                  <m:oMath>
                    <m:sSub>
                      <m:e>
                        <m:r>
                          <m:t>P</m:t>
                        </m:r>
                      </m:e>
                      <m:sub>
                        <m:r>
                          <m:t>C</m:t>
                        </m:r>
                        <m:sSub>
                          <m:e>
                            <m:r>
                              <m:t>O</m:t>
                            </m:r>
                          </m:e>
                          <m:sub>
                            <m:r>
                              <m:t>2</m:t>
                            </m:r>
                          </m:sub>
                        </m:sSub>
                      </m:sub>
                    </m:sSub>
                  </m:oMath>
                </w:p>
              </w:tc>
              <w:tc>
                <w:tcPr/>
                <w:p>
                  <w:pPr>
                    <w:pStyle w:val="Compact"/>
                    <w:jc w:val="left"/>
                    <w:jc w:val="center"/>
                  </w:pPr>
                  <w:r>
                    <w:t xml:space="preserve">5.177***</w:t>
                  </w:r>
                </w:p>
              </w:tc>
              <w:tc>
                <w:tcPr/>
                <w:p>
                  <w:pPr>
                    <w:pStyle w:val="Compact"/>
                  </w:pPr>
                </w:p>
              </w:tc>
              <w:tc>
                <w:tcPr/>
                <w:p>
                  <w:pPr>
                    <w:pStyle w:val="Compact"/>
                    <w:jc w:val="left"/>
                    <w:jc w:val="center"/>
                  </w:pPr>
                  <w:r>
                    <w:t xml:space="preserve">8.069</w:t>
                  </w:r>
                </w:p>
              </w:tc>
              <w:tc>
                <w:tcPr/>
                <w:p>
                  <w:pPr>
                    <w:pStyle w:val="Compact"/>
                  </w:pPr>
                </w:p>
              </w:tc>
            </w:tr>
            <w:tr>
              <w:tc>
                <w:tcPr/>
                <w:p>
                  <w:pPr>
                    <w:pStyle w:val="Compact"/>
                    <w:jc w:val="left"/>
                    <w:jc w:val="center"/>
                  </w:pPr>
                  <m:oMath>
                    <m:sSub>
                      <m:e>
                        <m:r>
                          <m:t>P</m:t>
                        </m:r>
                      </m:e>
                      <m:sub>
                        <m:r>
                          <m:t>C</m:t>
                        </m:r>
                        <m:sSub>
                          <m:e>
                            <m:r>
                              <m:t>O</m:t>
                            </m:r>
                          </m:e>
                          <m:sub>
                            <m:r>
                              <m:t>2</m:t>
                            </m:r>
                          </m:sub>
                        </m:sSub>
                      </m:sub>
                    </m:sSub>
                    <m:r>
                      <m:rPr>
                        <m:sty m:val="p"/>
                      </m:rPr>
                      <m:t>×</m:t>
                    </m:r>
                    <m:sSub>
                      <m:e>
                        <m:r>
                          <m:t>P</m:t>
                        </m:r>
                      </m:e>
                      <m:sub>
                        <m:r>
                          <m:t>A</m:t>
                        </m:r>
                        <m:r>
                          <m:t>A</m:t>
                        </m:r>
                        <m:r>
                          <m:t>E</m:t>
                        </m:r>
                        <m:r>
                          <m:t>10</m:t>
                        </m:r>
                      </m:sub>
                    </m:sSub>
                  </m:oMath>
                </w:p>
              </w:tc>
              <w:tc>
                <w:tcPr/>
                <w:p>
                  <w:pPr>
                    <w:pStyle w:val="Compact"/>
                  </w:pPr>
                </w:p>
              </w:tc>
              <w:tc>
                <w:tcPr/>
                <w:p>
                  <w:pPr>
                    <w:pStyle w:val="Compact"/>
                  </w:pPr>
                </w:p>
              </w:tc>
              <w:tc>
                <w:tcPr/>
                <w:p>
                  <w:pPr>
                    <w:pStyle w:val="Compact"/>
                    <w:jc w:val="left"/>
                    <w:jc w:val="center"/>
                  </w:pPr>
                  <w:r>
                    <w:t xml:space="preserve">-0.814</w:t>
                  </w:r>
                </w:p>
              </w:tc>
              <w:tc>
                <w:tcPr/>
                <w:p>
                  <w:pPr>
                    <w:pStyle w:val="Compact"/>
                  </w:pPr>
                </w:p>
              </w:tc>
            </w:tr>
            <w:tr>
              <w:tc>
                <w:tcPr/>
                <w:p>
                  <w:pPr>
                    <w:pStyle w:val="Compact"/>
                    <w:jc w:val="left"/>
                    <w:jc w:val="center"/>
                  </w:pPr>
                  <m:oMath>
                    <m:sSubSup>
                      <m:e>
                        <m:r>
                          <m:t>R</m:t>
                        </m:r>
                      </m:e>
                      <m:sub>
                        <m:r>
                          <m:t>m</m:t>
                        </m:r>
                      </m:sub>
                      <m:sup>
                        <m:r>
                          <m:t>2</m:t>
                        </m:r>
                      </m:sup>
                    </m:sSubSup>
                  </m:oMath>
                </w:p>
              </w:tc>
              <w:tc>
                <w:tcPr/>
                <w:p>
                  <w:pPr>
                    <w:pStyle w:val="Compact"/>
                    <w:jc w:val="left"/>
                    <w:jc w:val="center"/>
                  </w:pPr>
                  <w:r>
                    <w:t xml:space="preserve">0.064</w:t>
                  </w:r>
                </w:p>
              </w:tc>
              <w:tc>
                <w:tcPr/>
                <w:p>
                  <w:pPr>
                    <w:pStyle w:val="Compact"/>
                    <w:jc w:val="left"/>
                    <w:jc w:val="center"/>
                  </w:pPr>
                  <w:r>
                    <w:t xml:space="preserve">0.073</w:t>
                  </w:r>
                </w:p>
              </w:tc>
              <w:tc>
                <w:tcPr/>
                <w:p>
                  <w:pPr>
                    <w:pStyle w:val="Compact"/>
                    <w:jc w:val="left"/>
                    <w:jc w:val="center"/>
                  </w:pPr>
                  <w:r>
                    <w:t xml:space="preserve">0.065</w:t>
                  </w:r>
                </w:p>
              </w:tc>
              <w:tc>
                <w:tcPr/>
                <w:p>
                  <w:pPr>
                    <w:pStyle w:val="Compact"/>
                    <w:jc w:val="left"/>
                    <w:jc w:val="center"/>
                  </w:pPr>
                  <w:r>
                    <w:t xml:space="preserve">0.064</w:t>
                  </w:r>
                </w:p>
              </w:tc>
            </w:tr>
            <w:tr>
              <w:tc>
                <w:tcPr/>
                <w:p>
                  <w:pPr>
                    <w:pStyle w:val="Compact"/>
                    <w:jc w:val="left"/>
                    <w:jc w:val="center"/>
                  </w:pPr>
                  <m:oMath>
                    <m:sSubSup>
                      <m:e>
                        <m:r>
                          <m:t>R</m:t>
                        </m:r>
                      </m:e>
                      <m:sub>
                        <m:r>
                          <m:t>c</m:t>
                        </m:r>
                      </m:sub>
                      <m:sup>
                        <m:r>
                          <m:t>2</m:t>
                        </m:r>
                      </m:sup>
                    </m:sSubSup>
                  </m:oMath>
                </w:p>
              </w:tc>
              <w:tc>
                <w:tcPr/>
                <w:p>
                  <w:pPr>
                    <w:pStyle w:val="Compact"/>
                    <w:jc w:val="left"/>
                    <w:jc w:val="center"/>
                  </w:pPr>
                  <w:r>
                    <w:t xml:space="preserve">0.625</w:t>
                  </w:r>
                </w:p>
              </w:tc>
              <w:tc>
                <w:tcPr/>
                <w:p>
                  <w:pPr>
                    <w:pStyle w:val="Compact"/>
                    <w:jc w:val="left"/>
                    <w:jc w:val="center"/>
                  </w:pPr>
                  <w:r>
                    <w:t xml:space="preserve">0.603</w:t>
                  </w:r>
                </w:p>
              </w:tc>
              <w:tc>
                <w:tcPr/>
                <w:p>
                  <w:pPr>
                    <w:pStyle w:val="Compact"/>
                    <w:jc w:val="left"/>
                    <w:jc w:val="center"/>
                  </w:pPr>
                  <w:r>
                    <w:t xml:space="preserve">0.623</w:t>
                  </w:r>
                </w:p>
              </w:tc>
              <w:tc>
                <w:tcPr/>
                <w:p>
                  <w:pPr>
                    <w:pStyle w:val="Compact"/>
                    <w:jc w:val="left"/>
                    <w:jc w:val="center"/>
                  </w:pPr>
                  <w:r>
                    <w:t xml:space="preserve">0.648</w:t>
                  </w:r>
                </w:p>
              </w:tc>
            </w:tr>
          </w:tbl>
          <w:bookmarkEnd w:id="57"/>
          <w:p/>
        </w:tc>
      </w:tr>
    </w:tbl>
    <w:p>
      <w:pPr>
        <w:pStyle w:val="BodyText"/>
      </w:pPr>
      <w:r>
        <w:t xml:space="preserve">When predicting P-uptake, the individual standard soil tests,</w:t>
      </w:r>
      <w:r>
        <w:t xml:space="preserve"> </w:t>
      </w:r>
      <m:oMath>
        <m:sSub>
          <m:e>
            <m:r>
              <m:t>P</m:t>
            </m:r>
          </m:e>
          <m:sub>
            <m:r>
              <m:t>C</m:t>
            </m:r>
            <m:sSub>
              <m:e>
                <m:r>
                  <m:t>O</m:t>
                </m:r>
              </m:e>
              <m:sub>
                <m:r>
                  <m:t>2</m:t>
                </m:r>
              </m:sub>
            </m:sSub>
          </m:sub>
        </m:sSub>
      </m:oMath>
      <w:r>
        <w:t xml:space="preserve"> </w:t>
      </w:r>
      <w:r>
        <w:t xml:space="preserve">and</w:t>
      </w:r>
      <w:r>
        <w:t xml:space="preserve"> </w:t>
      </w:r>
      <m:oMath>
        <m:sSub>
          <m:e>
            <m:r>
              <m:t>P</m:t>
            </m:r>
          </m:e>
          <m:sub>
            <m:r>
              <m:t>A</m:t>
            </m:r>
            <m:r>
              <m:t>A</m:t>
            </m:r>
            <m:r>
              <m:t>E</m:t>
            </m:r>
            <m:r>
              <m:t>10</m:t>
            </m:r>
          </m:sub>
        </m:sSub>
      </m:oMath>
      <w:r>
        <w:t xml:space="preserve">, were significant positive predictors, explaining 6.4% and 7.3% of the variance, respectively. The interaction model did not improve the explained variance. The kinetic model performed on par with the standard individual tests, explaining 6.4% of the variance, though none of its parameters were individually significant. As with yield, a large difference between the marginal and conditional R² values was observed across all models.</w:t>
      </w:r>
    </w:p>
    <w:bookmarkEnd w:id="58"/>
    <w:bookmarkStart w:id="63" w:name="predicting-p-balance-p_bal"/>
    <w:p>
      <w:pPr>
        <w:pStyle w:val="Heading3"/>
      </w:pPr>
      <w:r>
        <w:t xml:space="preserve">1.5.5 Predicting P-Balance (</w:t>
      </w:r>
      <m:oMath>
        <m:sSub>
          <m:e>
            <m:r>
              <m:t>P</m:t>
            </m:r>
          </m:e>
          <m:sub>
            <m:r>
              <m:t>b</m:t>
            </m:r>
            <m:r>
              <m:t>a</m:t>
            </m:r>
            <m:r>
              <m:t>l</m:t>
            </m:r>
          </m:sub>
        </m:sSub>
      </m:oMath>
      <w:r>
        <w:t xml:space="preserve">)</w:t>
      </w:r>
    </w:p>
    <w:p>
      <w:pPr>
        <w:pStyle w:val="FirstParagraph"/>
      </w:pPr>
      <w:r>
        <w:t xml:space="preserve">The prediction of the P-Balance (</w:t>
      </w:r>
      <m:oMath>
        <m:sSub>
          <m:e>
            <m:r>
              <m:t>P</m:t>
            </m:r>
          </m:e>
          <m:sub>
            <m:r>
              <m:t>b</m:t>
            </m:r>
            <m:r>
              <m:t>a</m:t>
            </m:r>
            <m:r>
              <m:t>l</m:t>
            </m:r>
          </m:sub>
        </m:sSub>
      </m:oMath>
      <w:r>
        <w:t xml:space="preserve">) reveals a stark and decisive contrast between the kinetic and standard STP approaches, providing the strongest evidence in favor of the kinetic methodology.</w:t>
      </w:r>
    </w:p>
    <w:tbl>
      <w:tblPr>
        <w:tblStyle w:val="Table"/>
        <w:tblW w:type="pct" w:w="5000"/>
        <w:tblLayout w:type="fixed"/>
        <w:tblLook w:firstRow="0" w:lastRow="0" w:firstColumn="0" w:lastColumn="0" w:noHBand="0" w:noVBand="0" w:val="0000"/>
      </w:tblPr>
      <w:tblGrid>
        <w:gridCol w:w="7920"/>
      </w:tblGrid>
      <w:tr>
        <w:tc>
          <w:tcPr/>
          <w:bookmarkStart w:id="59" w:name="tbl-pbalance-models"/>
          <w:p>
            <w:pPr>
              <w:jc w:val="center"/>
            </w:pPr>
            <w:pPr>
              <w:jc w:val="left"/>
              <w:spacing w:before="200"/>
              <w:pStyle w:val="ImageCaption"/>
            </w:pPr>
            <w:r>
              <w:t xml:space="preserve">Table 5: Results of linear mixed-effects models predicting P-Balance (</w:t>
            </w:r>
            <m:oMath>
              <m:sSub>
                <m:e>
                  <m:r>
                    <m:t>P</m:t>
                  </m:r>
                </m:e>
                <m:sub>
                  <m:r>
                    <m:t>b</m:t>
                  </m:r>
                  <m:r>
                    <m:t>a</m:t>
                  </m:r>
                  <m:r>
                    <m:t>l</m:t>
                  </m:r>
                </m:sub>
              </m:sSub>
            </m:oMath>
            <w:r>
              <w:t xml:space="preserve">).</w:t>
            </w:r>
          </w:p>
          <w:tbl>
            <w:tblPr>
              <w:tblStyle w:val="Table"/>
              <w:tblW w:type="pct" w:w="5000"/>
              <w:tblLayout w:type="fixed"/>
              <w:tblLook w:firstRow="1" w:lastRow="0" w:firstColumn="0" w:lastColumn="0" w:noHBand="0" w:noVBand="0" w:val="0020"/>
            </w:tblPr>
            <w:tblGrid>
              <w:gridCol w:w="2879"/>
              <w:gridCol w:w="1131"/>
              <w:gridCol w:w="1234"/>
              <w:gridCol w:w="1645"/>
              <w:gridCol w:w="1028"/>
            </w:tblGrid>
            <w:tr>
              <w:trPr>
                <w:tblHeader w:val="on"/>
              </w:trPr>
              <w:tc>
                <w:tcPr/>
                <w:p>
                  <w:pPr>
                    <w:pStyle w:val="Compact"/>
                    <w:jc w:val="left"/>
                    <w:jc w:val="center"/>
                  </w:pPr>
                  <w:r>
                    <w:t xml:space="preserve">Predictor</w:t>
                  </w:r>
                </w:p>
              </w:tc>
              <w:tc>
                <w:tcPr/>
                <w:p>
                  <w:pPr>
                    <w:pStyle w:val="Compact"/>
                    <w:jc w:val="left"/>
                    <w:jc w:val="center"/>
                  </w:pPr>
                  <m:oMath>
                    <m:sSub>
                      <m:e>
                        <m:r>
                          <m:t>P</m:t>
                        </m:r>
                      </m:e>
                      <m:sub>
                        <m:r>
                          <m:t>C</m:t>
                        </m:r>
                        <m:sSub>
                          <m:e>
                            <m:r>
                              <m:t>O</m:t>
                            </m:r>
                          </m:e>
                          <m:sub>
                            <m:r>
                              <m:t>2</m:t>
                            </m:r>
                          </m:sub>
                        </m:sSub>
                      </m:sub>
                    </m:sSub>
                  </m:oMath>
                </w:p>
              </w:tc>
              <w:tc>
                <w:tcPr/>
                <w:p>
                  <w:pPr>
                    <w:pStyle w:val="Compact"/>
                    <w:jc w:val="left"/>
                    <w:jc w:val="center"/>
                  </w:pPr>
                  <m:oMath>
                    <m:sSub>
                      <m:e>
                        <m:r>
                          <m:t>P</m:t>
                        </m:r>
                      </m:e>
                      <m:sub>
                        <m:r>
                          <m:t>A</m:t>
                        </m:r>
                        <m:r>
                          <m:t>A</m:t>
                        </m:r>
                        <m:r>
                          <m:t>E</m:t>
                        </m:r>
                        <m:r>
                          <m:t>10</m:t>
                        </m:r>
                      </m:sub>
                    </m:sSub>
                  </m:oMath>
                </w:p>
              </w:tc>
              <w:tc>
                <w:tcPr/>
                <w:p>
                  <w:pPr>
                    <w:pStyle w:val="Compact"/>
                    <w:jc w:val="left"/>
                    <w:jc w:val="center"/>
                  </w:pPr>
                  <w:r>
                    <w:t xml:space="preserve">STP-interaction</w:t>
                  </w:r>
                </w:p>
              </w:tc>
              <w:tc>
                <w:tcPr/>
                <w:p>
                  <w:pPr>
                    <w:pStyle w:val="Compact"/>
                    <w:jc w:val="left"/>
                    <w:jc w:val="center"/>
                  </w:pPr>
                  <w:r>
                    <w:t xml:space="preserve">kinetic</w:t>
                  </w:r>
                </w:p>
              </w:tc>
            </w:tr>
            <w:tr>
              <w:tc>
                <w:tcPr/>
                <w:p>
                  <w:pPr>
                    <w:pStyle w:val="Compact"/>
                    <w:jc w:val="left"/>
                    <w:jc w:val="center"/>
                  </w:pPr>
                  <w:r>
                    <w:t xml:space="preserve">Intercept</w:t>
                  </w:r>
                </w:p>
              </w:tc>
              <w:tc>
                <w:tcPr/>
                <w:p>
                  <w:pPr>
                    <w:pStyle w:val="Compact"/>
                    <w:jc w:val="left"/>
                    <w:jc w:val="center"/>
                  </w:pPr>
                  <w:r>
                    <w:t xml:space="preserve">4.441</w:t>
                  </w:r>
                </w:p>
              </w:tc>
              <w:tc>
                <w:tcPr/>
                <w:p>
                  <w:pPr>
                    <w:pStyle w:val="Compact"/>
                    <w:jc w:val="left"/>
                    <w:jc w:val="center"/>
                  </w:pPr>
                  <w:r>
                    <w:t xml:space="preserve">7.691</w:t>
                  </w:r>
                </w:p>
              </w:tc>
              <w:tc>
                <w:tcPr/>
                <w:p>
                  <w:pPr>
                    <w:pStyle w:val="Compact"/>
                    <w:jc w:val="left"/>
                    <w:jc w:val="center"/>
                  </w:pPr>
                  <w:r>
                    <w:t xml:space="preserve">3.649</w:t>
                  </w:r>
                </w:p>
              </w:tc>
              <w:tc>
                <w:tcPr/>
                <w:p>
                  <w:pPr>
                    <w:pStyle w:val="Compact"/>
                    <w:jc w:val="left"/>
                    <w:jc w:val="center"/>
                  </w:pPr>
                  <w:r>
                    <w:t xml:space="preserve">43.833***</w:t>
                  </w:r>
                </w:p>
              </w:tc>
            </w:tr>
            <w:tr>
              <w:tc>
                <w:tcPr/>
                <w:p>
                  <w:pPr>
                    <w:pStyle w:val="Compact"/>
                    <w:jc w:val="left"/>
                    <w:jc w:val="center"/>
                  </w:pPr>
                  <m:oMath>
                    <m:r>
                      <m:t>k</m:t>
                    </m:r>
                  </m:oMath>
                </w:p>
              </w:tc>
              <w:tc>
                <w:tcPr/>
                <w:p>
                  <w:pPr>
                    <w:pStyle w:val="Compact"/>
                  </w:pPr>
                </w:p>
              </w:tc>
              <w:tc>
                <w:tcPr/>
                <w:p>
                  <w:pPr>
                    <w:pStyle w:val="Compact"/>
                  </w:pPr>
                </w:p>
              </w:tc>
              <w:tc>
                <w:tcPr/>
                <w:p>
                  <w:pPr>
                    <w:pStyle w:val="Compact"/>
                  </w:pPr>
                </w:p>
              </w:tc>
              <w:tc>
                <w:tcPr/>
                <w:p>
                  <w:pPr>
                    <w:pStyle w:val="Compact"/>
                    <w:jc w:val="left"/>
                    <w:jc w:val="center"/>
                  </w:pPr>
                  <w:r>
                    <w:t xml:space="preserve">84.993</w:t>
                  </w:r>
                </w:p>
              </w:tc>
            </w:tr>
            <w:tr>
              <w:tc>
                <w:tcPr/>
                <w:p>
                  <w:pPr>
                    <w:pStyle w:val="Compact"/>
                    <w:jc w:val="left"/>
                    <w:jc w:val="center"/>
                  </w:pPr>
                  <m:oMath>
                    <m:sSub>
                      <m:e>
                        <m:r>
                          <m:t>J</m:t>
                        </m:r>
                      </m:e>
                      <m:sub>
                        <m:r>
                          <m:t>0</m:t>
                        </m:r>
                      </m:sub>
                    </m:sSub>
                  </m:oMath>
                </w:p>
              </w:tc>
              <w:tc>
                <w:tcPr/>
                <w:p>
                  <w:pPr>
                    <w:pStyle w:val="Compact"/>
                  </w:pPr>
                </w:p>
              </w:tc>
              <w:tc>
                <w:tcPr/>
                <w:p>
                  <w:pPr>
                    <w:pStyle w:val="Compact"/>
                  </w:pPr>
                </w:p>
              </w:tc>
              <w:tc>
                <w:tcPr/>
                <w:p>
                  <w:pPr>
                    <w:pStyle w:val="Compact"/>
                  </w:pPr>
                </w:p>
              </w:tc>
              <w:tc>
                <w:tcPr/>
                <w:p>
                  <w:pPr>
                    <w:pStyle w:val="Compact"/>
                    <w:jc w:val="left"/>
                    <w:jc w:val="center"/>
                  </w:pPr>
                  <w:r>
                    <w:t xml:space="preserve">33.029</w:t>
                  </w:r>
                </w:p>
              </w:tc>
            </w:tr>
            <w:tr>
              <w:tc>
                <w:tcPr/>
                <w:p>
                  <w:pPr>
                    <w:pStyle w:val="Compact"/>
                    <w:jc w:val="left"/>
                    <w:jc w:val="center"/>
                  </w:pPr>
                  <m:oMath>
                    <m:sSub>
                      <m:e>
                        <m:r>
                          <m:t>P</m:t>
                        </m:r>
                      </m:e>
                      <m:sub>
                        <m:r>
                          <m:t>d</m:t>
                        </m:r>
                        <m:r>
                          <m:t>e</m:t>
                        </m:r>
                        <m:r>
                          <m:t>s</m:t>
                        </m:r>
                        <m:r>
                          <m:t>o</m:t>
                        </m:r>
                        <m:r>
                          <m:t>r</m:t>
                        </m:r>
                        <m:r>
                          <m:t>b</m:t>
                        </m:r>
                      </m:sub>
                    </m:sSub>
                  </m:oMath>
                </w:p>
              </w:tc>
              <w:tc>
                <w:tcPr/>
                <w:p>
                  <w:pPr>
                    <w:pStyle w:val="Compact"/>
                  </w:pPr>
                </w:p>
              </w:tc>
              <w:tc>
                <w:tcPr/>
                <w:p>
                  <w:pPr>
                    <w:pStyle w:val="Compact"/>
                  </w:pPr>
                </w:p>
              </w:tc>
              <w:tc>
                <w:tcPr/>
                <w:p>
                  <w:pPr>
                    <w:pStyle w:val="Compact"/>
                  </w:pPr>
                </w:p>
              </w:tc>
              <w:tc>
                <w:tcPr/>
                <w:p>
                  <w:pPr>
                    <w:pStyle w:val="Compact"/>
                    <w:jc w:val="left"/>
                    <w:jc w:val="center"/>
                  </w:pPr>
                  <w:r>
                    <w:t xml:space="preserve">16.947***</w:t>
                  </w:r>
                </w:p>
              </w:tc>
            </w:tr>
            <w:tr>
              <w:tc>
                <w:tcPr/>
                <w:p>
                  <w:pPr>
                    <w:pStyle w:val="Compact"/>
                    <w:jc w:val="left"/>
                    <w:jc w:val="center"/>
                  </w:pPr>
                  <m:oMath>
                    <m:sSub>
                      <m:e>
                        <m:r>
                          <m:t>P</m:t>
                        </m:r>
                      </m:e>
                      <m:sub>
                        <m:r>
                          <m:t>A</m:t>
                        </m:r>
                        <m:r>
                          <m:t>A</m:t>
                        </m:r>
                        <m:r>
                          <m:t>E</m:t>
                        </m:r>
                        <m:r>
                          <m:t>10</m:t>
                        </m:r>
                      </m:sub>
                    </m:sSub>
                  </m:oMath>
                </w:p>
              </w:tc>
              <w:tc>
                <w:tcPr/>
                <w:p>
                  <w:pPr>
                    <w:pStyle w:val="Compact"/>
                  </w:pPr>
                </w:p>
              </w:tc>
              <w:tc>
                <w:tcPr/>
                <w:p>
                  <w:pPr>
                    <w:pStyle w:val="Compact"/>
                    <w:jc w:val="left"/>
                    <w:jc w:val="center"/>
                  </w:pPr>
                  <w:r>
                    <w:t xml:space="preserve">-0.794</w:t>
                  </w:r>
                </w:p>
              </w:tc>
              <w:tc>
                <w:tcPr/>
                <w:p>
                  <w:pPr>
                    <w:pStyle w:val="Compact"/>
                    <w:jc w:val="left"/>
                    <w:jc w:val="center"/>
                  </w:pPr>
                  <w:r>
                    <w:t xml:space="preserve">0.187</w:t>
                  </w:r>
                </w:p>
              </w:tc>
              <w:tc>
                <w:tcPr/>
                <w:p>
                  <w:pPr>
                    <w:pStyle w:val="Compact"/>
                  </w:pPr>
                </w:p>
              </w:tc>
            </w:tr>
            <w:tr>
              <w:tc>
                <w:tcPr/>
                <w:p>
                  <w:pPr>
                    <w:pStyle w:val="Compact"/>
                    <w:jc w:val="left"/>
                    <w:jc w:val="center"/>
                  </w:pPr>
                  <m:oMath>
                    <m:sSub>
                      <m:e>
                        <m:r>
                          <m:t>P</m:t>
                        </m:r>
                      </m:e>
                      <m:sub>
                        <m:r>
                          <m:t>C</m:t>
                        </m:r>
                        <m:sSub>
                          <m:e>
                            <m:r>
                              <m:t>O</m:t>
                            </m:r>
                          </m:e>
                          <m:sub>
                            <m:r>
                              <m:t>2</m:t>
                            </m:r>
                          </m:sub>
                        </m:sSub>
                      </m:sub>
                    </m:sSub>
                  </m:oMath>
                </w:p>
              </w:tc>
              <w:tc>
                <w:tcPr/>
                <w:p>
                  <w:pPr>
                    <w:pStyle w:val="Compact"/>
                    <w:jc w:val="left"/>
                    <w:jc w:val="center"/>
                  </w:pPr>
                  <w:r>
                    <w:t xml:space="preserve">-0.928</w:t>
                  </w:r>
                </w:p>
              </w:tc>
              <w:tc>
                <w:tcPr/>
                <w:p>
                  <w:pPr>
                    <w:pStyle w:val="Compact"/>
                  </w:pPr>
                </w:p>
              </w:tc>
              <w:tc>
                <w:tcPr/>
                <w:p>
                  <w:pPr>
                    <w:pStyle w:val="Compact"/>
                    <w:jc w:val="left"/>
                    <w:jc w:val="center"/>
                  </w:pPr>
                  <w:r>
                    <w:t xml:space="preserve">-2.442</w:t>
                  </w:r>
                </w:p>
              </w:tc>
              <w:tc>
                <w:tcPr/>
                <w:p>
                  <w:pPr>
                    <w:pStyle w:val="Compact"/>
                  </w:pPr>
                </w:p>
              </w:tc>
            </w:tr>
            <w:tr>
              <w:tc>
                <w:tcPr/>
                <w:p>
                  <w:pPr>
                    <w:pStyle w:val="Compact"/>
                    <w:jc w:val="left"/>
                    <w:jc w:val="center"/>
                  </w:pPr>
                  <m:oMath>
                    <m:sSub>
                      <m:e>
                        <m:r>
                          <m:t>P</m:t>
                        </m:r>
                      </m:e>
                      <m:sub>
                        <m:r>
                          <m:t>C</m:t>
                        </m:r>
                        <m:sSub>
                          <m:e>
                            <m:r>
                              <m:t>O</m:t>
                            </m:r>
                          </m:e>
                          <m:sub>
                            <m:r>
                              <m:t>2</m:t>
                            </m:r>
                          </m:sub>
                        </m:sSub>
                      </m:sub>
                    </m:sSub>
                    <m:r>
                      <m:rPr>
                        <m:sty m:val="p"/>
                      </m:rPr>
                      <m:t>×</m:t>
                    </m:r>
                    <m:sSub>
                      <m:e>
                        <m:r>
                          <m:t>P</m:t>
                        </m:r>
                      </m:e>
                      <m:sub>
                        <m:r>
                          <m:t>A</m:t>
                        </m:r>
                        <m:r>
                          <m:t>A</m:t>
                        </m:r>
                        <m:r>
                          <m:t>E</m:t>
                        </m:r>
                        <m:r>
                          <m:t>10</m:t>
                        </m:r>
                      </m:sub>
                    </m:sSub>
                  </m:oMath>
                </w:p>
              </w:tc>
              <w:tc>
                <w:tcPr/>
                <w:p>
                  <w:pPr>
                    <w:pStyle w:val="Compact"/>
                  </w:pPr>
                </w:p>
              </w:tc>
              <w:tc>
                <w:tcPr/>
                <w:p>
                  <w:pPr>
                    <w:pStyle w:val="Compact"/>
                  </w:pPr>
                </w:p>
              </w:tc>
              <w:tc>
                <w:tcPr/>
                <w:p>
                  <w:pPr>
                    <w:pStyle w:val="Compact"/>
                    <w:jc w:val="left"/>
                    <w:jc w:val="center"/>
                  </w:pPr>
                  <w:r>
                    <w:t xml:space="preserve">0.462</w:t>
                  </w:r>
                </w:p>
              </w:tc>
              <w:tc>
                <w:tcPr/>
                <w:p>
                  <w:pPr>
                    <w:pStyle w:val="Compact"/>
                  </w:pPr>
                </w:p>
              </w:tc>
            </w:tr>
            <w:tr>
              <w:tc>
                <w:tcPr/>
                <w:p>
                  <w:pPr>
                    <w:pStyle w:val="Compact"/>
                    <w:jc w:val="left"/>
                    <w:jc w:val="center"/>
                  </w:pPr>
                  <m:oMath>
                    <m:sSubSup>
                      <m:e>
                        <m:r>
                          <m:t>R</m:t>
                        </m:r>
                      </m:e>
                      <m:sub>
                        <m:r>
                          <m:t>m</m:t>
                        </m:r>
                      </m:sub>
                      <m:sup>
                        <m:r>
                          <m:t>2</m:t>
                        </m:r>
                      </m:sup>
                    </m:sSubSup>
                  </m:oMath>
                </w:p>
              </w:tc>
              <w:tc>
                <w:tcPr/>
                <w:p>
                  <w:pPr>
                    <w:pStyle w:val="Compact"/>
                    <w:jc w:val="left"/>
                    <w:jc w:val="center"/>
                  </w:pPr>
                  <w:r>
                    <w:t xml:space="preserve">0.001</w:t>
                  </w:r>
                </w:p>
              </w:tc>
              <w:tc>
                <w:tcPr/>
                <w:p>
                  <w:pPr>
                    <w:pStyle w:val="Compact"/>
                    <w:jc w:val="left"/>
                    <w:jc w:val="center"/>
                  </w:pPr>
                  <w:r>
                    <w:t xml:space="preserve">0.001</w:t>
                  </w:r>
                </w:p>
              </w:tc>
              <w:tc>
                <w:tcPr/>
                <w:p>
                  <w:pPr>
                    <w:pStyle w:val="Compact"/>
                    <w:jc w:val="left"/>
                    <w:jc w:val="center"/>
                  </w:pPr>
                  <w:r>
                    <w:t xml:space="preserve">0.001</w:t>
                  </w:r>
                </w:p>
              </w:tc>
              <w:tc>
                <w:tcPr/>
                <w:p>
                  <w:pPr>
                    <w:pStyle w:val="Compact"/>
                    <w:jc w:val="left"/>
                    <w:jc w:val="center"/>
                  </w:pPr>
                  <w:r>
                    <w:t xml:space="preserve">0.572</w:t>
                  </w:r>
                </w:p>
              </w:tc>
            </w:tr>
            <w:tr>
              <w:tc>
                <w:tcPr/>
                <w:p>
                  <w:pPr>
                    <w:pStyle w:val="Compact"/>
                    <w:jc w:val="left"/>
                    <w:jc w:val="center"/>
                  </w:pPr>
                  <m:oMath>
                    <m:sSubSup>
                      <m:e>
                        <m:r>
                          <m:t>R</m:t>
                        </m:r>
                      </m:e>
                      <m:sub>
                        <m:r>
                          <m:t>c</m:t>
                        </m:r>
                      </m:sub>
                      <m:sup>
                        <m:r>
                          <m:t>2</m:t>
                        </m:r>
                      </m:sup>
                    </m:sSubSup>
                  </m:oMath>
                </w:p>
              </w:tc>
              <w:tc>
                <w:tcPr/>
                <w:p>
                  <w:pPr>
                    <w:pStyle w:val="Compact"/>
                    <w:jc w:val="left"/>
                    <w:jc w:val="center"/>
                  </w:pPr>
                  <w:r>
                    <w:t xml:space="preserve">0.810</w:t>
                  </w:r>
                </w:p>
              </w:tc>
              <w:tc>
                <w:tcPr/>
                <w:p>
                  <w:pPr>
                    <w:pStyle w:val="Compact"/>
                    <w:jc w:val="left"/>
                    <w:jc w:val="center"/>
                  </w:pPr>
                  <w:r>
                    <w:t xml:space="preserve">0.807</w:t>
                  </w:r>
                </w:p>
              </w:tc>
              <w:tc>
                <w:tcPr/>
                <w:p>
                  <w:pPr>
                    <w:pStyle w:val="Compact"/>
                    <w:jc w:val="left"/>
                    <w:jc w:val="center"/>
                  </w:pPr>
                  <w:r>
                    <w:t xml:space="preserve">0.811</w:t>
                  </w:r>
                </w:p>
              </w:tc>
              <w:tc>
                <w:tcPr/>
                <w:p>
                  <w:pPr>
                    <w:pStyle w:val="Compact"/>
                    <w:jc w:val="left"/>
                    <w:jc w:val="center"/>
                  </w:pPr>
                  <w:r>
                    <w:t xml:space="preserve">0.744</w:t>
                  </w:r>
                </w:p>
              </w:tc>
            </w:tr>
          </w:tbl>
          <w:bookmarkEnd w:id="59"/>
          <w:p/>
        </w:tc>
      </w:tr>
    </w:tbl>
    <w:p>
      <w:pPr>
        <w:pStyle w:val="BodyText"/>
      </w:pPr>
      <w:r>
        <w:t xml:space="preserve">The kinetic model emerged as a strong predictor of the P-Balance, explaining 57.2% of the variance, with the desorbable P pool (</w:t>
      </w:r>
      <m:oMath>
        <m:sSub>
          <m:e>
            <m:r>
              <m:t>P</m:t>
            </m:r>
          </m:e>
          <m:sub>
            <m:r>
              <m:t>d</m:t>
            </m:r>
            <m:r>
              <m:t>e</m:t>
            </m:r>
            <m:r>
              <m:t>s</m:t>
            </m:r>
            <m:r>
              <m:t>o</m:t>
            </m:r>
            <m:r>
              <m:t>r</m:t>
            </m:r>
            <m:r>
              <m:t>b</m:t>
            </m:r>
          </m:sub>
        </m:sSub>
      </m:oMath>
      <w:r>
        <w:t xml:space="preserve">) being a highly significant predictor. In contrast, all models based on the standard STP methods had marginal R² values of 0.1% and no significant predictors. The conditional R² for the STP models was high (around 0.81), while the kinetic model had both a high marginal R² (0.572) and a high conditional R² (0.744).</w:t>
      </w:r>
    </w:p>
    <w:bookmarkStart w:id="62" w:name="refs"/>
    <w:bookmarkStart w:id="61" w:name="ref-demariaSoilPropertiesPhosphorus2013"/>
    <w:p>
      <w:pPr>
        <w:pStyle w:val="Bibliography"/>
      </w:pPr>
      <w:r>
        <w:t xml:space="preserve">Demaria, P., Sinaj, S., Flisch, R., &amp; Frossard, E. (2013). Soil</w:t>
      </w:r>
      <w:r>
        <w:t xml:space="preserve"> </w:t>
      </w:r>
      <w:r>
        <w:t xml:space="preserve">Properties</w:t>
      </w:r>
      <w:r>
        <w:t xml:space="preserve"> </w:t>
      </w:r>
      <w:r>
        <w:t xml:space="preserve">and</w:t>
      </w:r>
      <w:r>
        <w:t xml:space="preserve"> </w:t>
      </w:r>
      <w:r>
        <w:t xml:space="preserve">Phosphorus Isotopic Exchangeability</w:t>
      </w:r>
      <w:r>
        <w:t xml:space="preserve"> </w:t>
      </w:r>
      <w:r>
        <w:t xml:space="preserve">in</w:t>
      </w:r>
      <w:r>
        <w:t xml:space="preserve"> </w:t>
      </w:r>
      <w:r>
        <w:t xml:space="preserve">Cropped Temperate Soils</w:t>
      </w:r>
      <w:r>
        <w:t xml:space="preserve">.</w:t>
      </w:r>
      <w:r>
        <w:t xml:space="preserve"> </w:t>
      </w:r>
      <w:r>
        <w:rPr>
          <w:i/>
          <w:iCs/>
        </w:rPr>
        <w:t xml:space="preserve">Communications in Soil Science and Plant Analysis</w:t>
      </w:r>
      <w:r>
        <w:t xml:space="preserve">,</w:t>
      </w:r>
      <w:r>
        <w:t xml:space="preserve"> </w:t>
      </w:r>
      <w:r>
        <w:rPr>
          <w:i/>
          <w:iCs/>
        </w:rPr>
        <w:t xml:space="preserve">44</w:t>
      </w:r>
      <w:r>
        <w:t xml:space="preserve">(1–4), 287–300.</w:t>
      </w:r>
      <w:r>
        <w:t xml:space="preserve"> </w:t>
      </w:r>
      <w:hyperlink r:id="rId60">
        <w:r>
          <w:rPr>
            <w:rStyle w:val="Hyperlink"/>
          </w:rPr>
          <w:t xml:space="preserve">https://doi.org/10.1080/00103624.2013.741896</w:t>
        </w:r>
      </w:hyperlink>
    </w:p>
    <w:bookmarkEnd w:id="61"/>
    <w:bookmarkEnd w:id="62"/>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image" Id="rId14" Target="media/rId14.png" /><Relationship Type="http://schemas.openxmlformats.org/officeDocument/2006/relationships/image" Id="rId35" Target="media/rId35.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hyperlink" Id="rId60" Target="https://doi.org/10.1080/00103624.2013.741896"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80/00103624.2013.7418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2026-04-10T11:01:46Z</dcterms:created>
  <dcterms:modified xsi:type="dcterms:W3CDTF">2026-04-10T11:01:46Z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