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Author"/>
      </w:pPr>
      <w:r>
        <w:t xml:space="preserve">Emmanuel Frossard</w:t>
      </w:r>
    </w:p>
    <w:p>
      <w:pPr>
        <w:pStyle w:val="Date"/>
      </w:pPr>
      <w:r>
        <w:t xml:space="preserve">2026-06-05</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21"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w:t>
      </w:r>
      <w:r>
        <w:rPr>
          <w:b/>
          <w:bCs/>
        </w:rPr>
        <w:t xml:space="preserve">Brady2016Soils?</w:t>
      </w:r>
      <w:r>
        <w:t xml:space="preserve">;</w:t>
      </w:r>
      <w:r>
        <w:t xml:space="preserve"> </w:t>
      </w:r>
      <w:r>
        <w:rPr>
          <w:b/>
          <w:bCs/>
        </w:rPr>
        <w:t xml:space="preserve">Sposito2008Chemistry?</w:t>
      </w:r>
      <w:r>
        <w:t xml:space="preserve">)</w:t>
      </w:r>
      <w:r>
        <w:t xml:space="preserve">. Consequently, the total soil P stock is vast, but the minute fraction dissolved in the soil solution—the only form directly available to plant roots—is highly transient.</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w:t>
      </w:r>
      <w:r>
        <w:rPr>
          <w:b/>
          <w:bCs/>
        </w:rPr>
        <w:t xml:space="preserve">Frossard2000Processes?</w:t>
      </w:r>
      <w:r>
        <w:t xml:space="preserve">)</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In practice, standard agronomic soil tests do not measure absolute thermodynamic states; rather, they rely on</w:t>
      </w:r>
      <w:r>
        <w:t xml:space="preserve"> </w:t>
      </w:r>
      <w:r>
        <w:rPr>
          <w:b/>
          <w:bCs/>
        </w:rPr>
        <w:t xml:space="preserve">operational definitions</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w:t>
      </w:r>
      <w:r>
        <w:rPr>
          <w:b/>
          <w:bCs/>
        </w:rPr>
        <w:t xml:space="preserve">Olsen1954?</w:t>
      </w:r>
      <w:r>
        <w:t xml:space="preserve">)</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w:t>
      </w:r>
      <w:r>
        <w:rPr>
          <w:b/>
          <w:bCs/>
        </w:rPr>
        <w:t xml:space="preserve">FAL1996Methodenbuch?</w:t>
      </w:r>
      <w:r>
        <w:t xml:space="preserve">)</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Weak extractions using distilled or</w:t>
      </w:r>
      <w:r>
        <w:t xml:space="preserve"> </w:t>
      </w:r>
      <m:oMath>
        <m:r>
          <m:t>C</m:t>
        </m:r>
        <m:sSub>
          <m:e>
            <m:r>
              <m:t>O</m:t>
            </m:r>
          </m:e>
          <m:sub>
            <m:r>
              <m:t>2</m:t>
            </m:r>
          </m:sub>
        </m:sSub>
      </m:oMath>
      <w:r>
        <w:t xml:space="preserve">-saturated water exert minimal chemical force, attempting to extract readily soluble forms without fundamentally altering the native soil matrix.</w:t>
      </w:r>
    </w:p>
    <w:bookmarkEnd w:id="10"/>
    <w:bookmarkStart w:id="11" w:name="X469d7d9b1965ca390c327dc638ad81ab82d5521"/>
    <w:p>
      <w:pPr>
        <w:pStyle w:val="Heading2"/>
      </w:pPr>
      <w:r>
        <w:t xml:space="preserve">1.3 The Thermodynamic Flaw: Ionic Strength and Activity</w:t>
      </w:r>
    </w:p>
    <w:p>
      <w:pPr>
        <w:pStyle w:val="FirstParagraph"/>
      </w:pPr>
      <w:r>
        <w:t xml:space="preserve">The reliance on operational definitions introduces an analytical limitation when interpreting soil tests, fundamentally tied to the principles of physical chemistry and plant physiology. Plant roots acquire P primarily via high-affinity transporter proteins (e.g., the PHT1 family). The binding kinetics of these transporters are governed by the true thermodynamic driving force of the substrate: its</w:t>
      </w:r>
      <w:r>
        <w:t xml:space="preserve"> </w:t>
      </w:r>
      <w:r>
        <w:rPr>
          <w:b/>
          <w:bCs/>
        </w:rPr>
        <w:t xml:space="preserve">chemical activity (</w:t>
      </w:r>
      <m:oMath>
        <m:r>
          <m:t>a</m:t>
        </m:r>
      </m:oMath>
      <w:r>
        <w:t xml:space="preserve">), not its total stoichiometric concentration (</w:t>
      </w:r>
      <m:oMath>
        <m:r>
          <m:t>c</m:t>
        </m:r>
      </m:oMath>
      <w:r>
        <w:t xml:space="preserve">).</w:t>
      </w:r>
    </w:p>
    <w:p>
      <w:pPr>
        <w:pStyle w:val="BodyText"/>
      </w:pPr>
      <w:r>
        <w:t xml:space="preserve">In the native soil solution, phosphate anions are electrostatically shielded by a cloud of background 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r>
          <m:rPr>
            <m:sty m:val="p"/>
          </m:rPr>
          <m:t>,</m:t>
        </m:r>
        <m:r>
          <m:t>N</m:t>
        </m:r>
        <m:sSubSup>
          <m:e>
            <m:r>
              <m:t>O</m:t>
            </m:r>
          </m:e>
          <m:sub>
            <m:r>
              <m:t>3</m:t>
            </m:r>
          </m:sub>
          <m:sup>
            <m:r>
              <m:rPr>
                <m:sty m:val="p"/>
              </m:rPr>
              <m:t>−</m:t>
            </m:r>
          </m:sup>
        </m:sSubSup>
        <m:r>
          <m:rPr>
            <m:sty m:val="p"/>
          </m:rPr>
          <m:t>,</m:t>
        </m:r>
        <m:r>
          <m:t>S</m:t>
        </m:r>
        <m:sSubSup>
          <m:e>
            <m:r>
              <m:t>O</m:t>
            </m:r>
          </m:e>
          <m:sub>
            <m:r>
              <m:t>4</m:t>
            </m:r>
          </m:sub>
          <m:sup>
            <m:r>
              <m:t>2</m:t>
            </m:r>
            <m:r>
              <m:rPr>
                <m:sty m:val="p"/>
              </m:rPr>
              <m:t>−</m:t>
            </m:r>
          </m:sup>
        </m:sSubSup>
      </m:oMath>
      <w:r>
        <w:t xml:space="preserve">). This native ionic strength (</w:t>
      </w:r>
      <m:oMath>
        <m:r>
          <m:t>I</m:t>
        </m:r>
      </m:oMath>
      <w:r>
        <w:t xml:space="preserve">) physically reduces the effective activity of the phosphate. The magnitude of this shielding is defined by the activity coefficient (</w:t>
      </w:r>
      <m:oMath>
        <m:r>
          <m:t>γ</m:t>
        </m:r>
      </m:oMath>
      <w:r>
        <w:t xml:space="preserve">), where true chemical activity is</w:t>
      </w:r>
      <w:r>
        <w:t xml:space="preserve"> </w:t>
      </w:r>
      <m:oMath>
        <m:r>
          <m:t>a</m:t>
        </m:r>
        <m:r>
          <m:rPr>
            <m:sty m:val="p"/>
          </m:rPr>
          <m:t>=</m:t>
        </m:r>
        <m:r>
          <m:t>c</m:t>
        </m:r>
        <m:r>
          <m:rPr>
            <m:sty m:val="p"/>
          </m:rPr>
          <m:t>⋅</m:t>
        </m:r>
        <m:r>
          <m:t>γ</m:t>
        </m:r>
      </m:oMath>
      <w:r>
        <w:t xml:space="preserve">.</w:t>
      </w:r>
    </w:p>
    <w:p>
      <w:pPr>
        <w:pStyle w:val="BodyText"/>
      </w:pPr>
      <w:r>
        <w:t xml:space="preserve">For strong extractants like Olsen or P-AAE10, the extractant solution has an overwhelmingly high ionic strength (e.g.,</w:t>
      </w:r>
      <w:r>
        <w:t xml:space="preserve"> </w:t>
      </w:r>
      <m:oMath>
        <m:r>
          <m:t>I</m:t>
        </m:r>
        <m:r>
          <m:rPr>
            <m:sty m:val="p"/>
          </m:rPr>
          <m:t>≈</m:t>
        </m:r>
        <m:r>
          <m:t>0.5</m:t>
        </m:r>
        <m:r>
          <m:rPr>
            <m:nor/>
            <m:sty m:val="p"/>
          </m:rPr>
          <m:t> M</m:t>
        </m:r>
      </m:oMath>
      <w:r>
        <w:t xml:space="preserve"> </w:t>
      </w:r>
      <w:r>
        <w:t xml:space="preserve">for Olsen). This artificial salt load overwhelms the native ionic strength of the soil. Consequently, while these methods successfully quantify the physical mass of phosphorus (</w:t>
      </w:r>
      <m:oMath>
        <m:r>
          <m:t>Q</m:t>
        </m:r>
      </m:oMath>
      <w:r>
        <w:t xml:space="preserve">), they alter the natural chemical environment, providing no information regarding the true thermodynamic Intensity (</w:t>
      </w:r>
      <m:oMath>
        <m:r>
          <m:t>I</m:t>
        </m:r>
      </m:oMath>
      <w:r>
        <w:t xml:space="preserve">) perceived by the root.</w:t>
      </w:r>
    </w:p>
    <w:p>
      <w:pPr>
        <w:pStyle w:val="BodyText"/>
      </w:pPr>
      <w:r>
        <w:t xml:space="preserve">Conversely, while weak water extractions successfully preserve the native soil matrix, reading their variable activity against a standard</w:t>
      </w:r>
      <w:r>
        <w:t xml:space="preserve"> </w:t>
      </w:r>
      <m:oMath>
        <m:r>
          <m:t>I</m:t>
        </m:r>
        <m:r>
          <m:rPr>
            <m:sty m:val="p"/>
          </m:rPr>
          <m:t>≈</m:t>
        </m:r>
        <m:r>
          <m:t>0</m:t>
        </m:r>
      </m:oMath>
      <w:r>
        <w:t xml:space="preserve"> </w:t>
      </w:r>
      <w:r>
        <w:t xml:space="preserve">calibration curve renders the values mathematically incomparable across different pedoclimatic sites. For example, in heavily fertilized Swiss agricultural soils (such as the long-term STYCS 167% P-treatments), the dissolution of accumulated amendments can elevate pore water ionic strength to</w:t>
      </w:r>
      <w:r>
        <w:t xml:space="preserve"> </w:t>
      </w:r>
      <m:oMath>
        <m:r>
          <m:t>0.02</m:t>
        </m:r>
        <m:r>
          <m:rPr>
            <m:nor/>
            <m:sty m:val="p"/>
          </m:rPr>
          <m:t> M</m:t>
        </m:r>
      </m:oMath>
      <w:r>
        <w:t xml:space="preserve">. At a neutral pH, a large portion of P exists as the divalent</w:t>
      </w:r>
      <w:r>
        <w:t xml:space="preserve"> </w:t>
      </w:r>
      <m:oMath>
        <m:r>
          <m:t>H</m:t>
        </m:r>
        <m:r>
          <m:t>P</m:t>
        </m:r>
        <m:sSubSup>
          <m:e>
            <m:r>
              <m:t>O</m:t>
            </m:r>
          </m:e>
          <m:sub>
            <m:r>
              <m:t>4</m:t>
            </m:r>
          </m:sub>
          <m:sup>
            <m:r>
              <m:t>2</m:t>
            </m:r>
            <m:r>
              <m:rPr>
                <m:sty m:val="p"/>
              </m:rPr>
              <m:t>−</m:t>
            </m:r>
          </m:sup>
        </m:sSubSup>
      </m:oMath>
      <w:r>
        <w:t xml:space="preserve"> </w:t>
      </w:r>
      <w:r>
        <w:t xml:space="preserve">ion. Applying the Davies equation to this ionic strength yields an activity coefficient (</w:t>
      </w:r>
      <m:oMath>
        <m:r>
          <m:t>γ</m:t>
        </m:r>
      </m:oMath>
      <w:r>
        <w:t xml:space="preserve">) of approximately</w:t>
      </w:r>
      <w:r>
        <w:t xml:space="preserve"> </w:t>
      </w:r>
      <m:oMath>
        <m:r>
          <m:t>0.58</m:t>
        </m:r>
      </m:oMath>
      <w:r>
        <w:t xml:space="preserve">. Therefore, over 40% of the chemically extracted mass is thermodynamically inactive to the root. To resolve this, raw stoichiometric concentrations derived from water extractions must be mathematically corrected via the Davies equation to yield true thermodynamic activity.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Once thermodynamic Intensity is correctly calculated, it can be paired with a standard mass extraction (</w:t>
      </w:r>
      <m:oMath>
        <m:r>
          <m:t>Q</m:t>
        </m:r>
      </m:oMath>
      <w:r>
        <w:t xml:space="preserve">, such as</w:t>
      </w:r>
      <w:r>
        <w:t xml:space="preserve"> </w:t>
      </w:r>
      <m:oMath>
        <m:sSub>
          <m:e>
            <m:r>
              <m:t>P</m:t>
            </m:r>
          </m:e>
          <m:sub>
            <m:r>
              <m:t>A</m:t>
            </m:r>
            <m:r>
              <m:t>A</m:t>
            </m:r>
            <m:r>
              <m:t>E</m:t>
            </m:r>
            <m:r>
              <m:t>10</m:t>
            </m:r>
          </m:sub>
        </m:sSub>
      </m:oMath>
      <w:r>
        <w:t xml:space="preserve">) to construct a purely thermodynamic</w:t>
      </w:r>
      <w:r>
        <w:t xml:space="preserve"> </w:t>
      </w:r>
      <m:oMath>
        <m:r>
          <m:t>Q</m:t>
        </m:r>
        <m:r>
          <m:rPr>
            <m:sty m:val="p"/>
          </m:rPr>
          <m:t>(</m:t>
        </m:r>
        <m:r>
          <m:t>I</m:t>
        </m:r>
        <m:r>
          <m:rPr>
            <m:sty m:val="p"/>
          </m:rPr>
          <m:t>)</m:t>
        </m:r>
      </m:oMath>
      <w:r>
        <w:t xml:space="preserve"> </w:t>
      </w:r>
      <w:r>
        <w:t xml:space="preserve">framework. By parameterizing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the true Phosphorus Buffering Capacity (PBC) can be mathematically deduced as the continuous first derivative (</w:t>
      </w:r>
      <m:oMath>
        <m:f>
          <m:fPr>
            <m:type m:val="bar"/>
          </m:fPr>
          <m:num>
            <m:r>
              <m:t>d</m:t>
            </m:r>
            <m:r>
              <m:t>Q</m:t>
            </m:r>
          </m:num>
          <m:den>
            <m:r>
              <m:t>d</m:t>
            </m:r>
            <m:r>
              <m:t>I</m:t>
            </m:r>
          </m:den>
        </m:f>
      </m:oMath>
      <w:r>
        <w:t xml:space="preserve">).</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w:t>
      </w:r>
      <w:r>
        <w:t xml:space="preserve"> </w:t>
      </w:r>
      <w:r>
        <w:rPr>
          <w:b/>
          <w:bCs/>
        </w:rPr>
        <w:t xml:space="preserve">Nye2000Solute?</w:t>
      </w:r>
      <w:r>
        <w:t xml:space="preserve">)</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w:t>
                  </w:r>
                  <w:r>
                    <w:rPr>
                      <w:b/>
                      <w:b/>
                      <w:bCs/>
                      <w:bCs/>
                    </w:rPr>
                    <w:t xml:space="preserve">Frossard2000Processes?</w:t>
                  </w:r>
                  <w:r>
                    <w:rPr>
                      <w:b/>
                      <w:bCs/>
                    </w:rPr>
                    <w:t xml:space="preserve">)</w:t>
                  </w:r>
                  <w:r>
                    <w:rPr>
                      <w:b/>
                      <w:bCs/>
                    </w:rPr>
                    <w:t xml:space="preserve">)</w:t>
                  </w:r>
                </w:p>
              </w:tc>
              <w:tc>
                <w:tcPr/>
                <w:p>
                  <w:pPr>
                    <w:pStyle w:val="Compact"/>
                    <w:jc w:val="left"/>
                    <w:jc w:val="center"/>
                  </w:pPr>
                  <w:r>
                    <w:t xml:space="preserve">Chemical activity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Thermodynamic Proxy (This Study)</w:t>
                  </w:r>
                </w:p>
              </w:tc>
              <w:tc>
                <w:tcPr/>
                <w:p>
                  <w:pPr>
                    <w:pStyle w:val="Compact"/>
                    <w:jc w:val="left"/>
                    <w:jc w:val="center"/>
                  </w:pPr>
                  <w:r>
                    <w:t xml:space="preserve">Maximum Thermodynamic Activity (</w:t>
                  </w:r>
                  <m:oMath>
                    <m:sSub>
                      <m:e>
                        <m:r>
                          <m:t>a</m:t>
                        </m:r>
                      </m:e>
                      <m:sub>
                        <m:r>
                          <m:t>m</m:t>
                        </m:r>
                        <m:r>
                          <m:t>a</m:t>
                        </m:r>
                        <m:r>
                          <m:t>x</m:t>
                        </m:r>
                      </m:sub>
                    </m:sSub>
                  </m:oMath>
                  <w:r>
                    <w:t xml:space="preserve">)</w:t>
                  </w:r>
                </w:p>
              </w:tc>
              <w:tc>
                <w:tcPr/>
                <w:p>
                  <w:pPr>
                    <w:pStyle w:val="Compact"/>
                    <w:jc w:val="left"/>
                    <w:jc w:val="center"/>
                  </w:pPr>
                  <m:oMath>
                    <m:sSub>
                      <m:e>
                        <m:r>
                          <m:t>P</m:t>
                        </m:r>
                      </m:e>
                      <m:sub>
                        <m:r>
                          <m:t>A</m:t>
                        </m:r>
                        <m:r>
                          <m:t>A</m:t>
                        </m:r>
                        <m:r>
                          <m:t>E</m:t>
                        </m:r>
                        <m:r>
                          <m:t>10</m:t>
                        </m:r>
                      </m:sub>
                    </m:sSub>
                  </m:oMath>
                </w:p>
              </w:tc>
              <w:tc>
                <w:tcPr/>
                <w:p>
                  <w:pPr>
                    <w:pStyle w:val="Compact"/>
                    <w:jc w:val="left"/>
                    <w:jc w:val="center"/>
                  </w:pPr>
                  <w:r>
                    <w:t xml:space="preserve">Initial Activity Flux (</w:t>
                  </w:r>
                  <m:oMath>
                    <m:sSub>
                      <m:e>
                        <m:r>
                          <m:t>J</m:t>
                        </m:r>
                      </m:e>
                      <m:sub>
                        <m:r>
                          <m:t>0</m:t>
                        </m:r>
                      </m:sub>
                    </m:sSub>
                    <m:r>
                      <m:rPr>
                        <m:sty m:val="p"/>
                      </m:rPr>
                      <m:t>=</m:t>
                    </m:r>
                    <m:r>
                      <m:t>k</m:t>
                    </m:r>
                    <m:r>
                      <m:rPr>
                        <m:sty m:val="p"/>
                      </m:rPr>
                      <m:t>⋅</m:t>
                    </m:r>
                    <m:sSub>
                      <m:e>
                        <m:r>
                          <m:t>a</m:t>
                        </m:r>
                      </m:e>
                      <m:sub>
                        <m:r>
                          <m:t>m</m:t>
                        </m:r>
                        <m:r>
                          <m:t>a</m:t>
                        </m:r>
                        <m:r>
                          <m:t>x</m:t>
                        </m:r>
                      </m:sub>
                    </m:sSub>
                  </m:oMath>
                  <w:r>
                    <w:t xml:space="preserve">)</w:t>
                  </w:r>
                </w:p>
              </w:tc>
            </w:tr>
          </w:tbl>
          <w:bookmarkEnd w:id="12"/>
          <w:p/>
        </w:tc>
      </w:tr>
    </w:tbl>
    <w:p>
      <w:pPr>
        <w:pStyle w:val="CaptionedFigure"/>
      </w:pPr>
      <w:r>
        <w:drawing>
          <wp:inline>
            <wp:extent cx="5334000" cy="3315034"/>
            <wp:effectExtent b="0" l="0" r="0" t="0"/>
            <wp:docPr descr="Conceptual model of the rhizosphere phosphorus cycle." title="" id="14" name="Picture"/>
            <a:graphic>
              <a:graphicData uri="http://schemas.openxmlformats.org/drawingml/2006/picture">
                <pic:pic>
                  <pic:nvPicPr>
                    <pic:cNvPr descr="index_files/figure-docx/unnamed-chunk-1-1.png" id="15" name="Picture"/>
                    <pic:cNvPicPr>
                      <a:picLocks noChangeArrowheads="1" noChangeAspect="1"/>
                    </pic:cNvPicPr>
                  </pic:nvPicPr>
                  <pic:blipFill>
                    <a:blip r:embed="rId13"/>
                    <a:stretch>
                      <a:fillRect/>
                    </a:stretch>
                  </pic:blipFill>
                  <pic:spPr bwMode="auto">
                    <a:xfrm>
                      <a:off x="0" y="0"/>
                      <a:ext cx="5334000" cy="3315034"/>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20"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Using soils from the long-term Swiss agricultural experiment STYCS, this study aims to validate this framework through the following objectives:</w:t>
      </w:r>
    </w:p>
    <w:p>
      <w:pPr>
        <w:pStyle w:val="Compact"/>
        <w:numPr>
          <w:ilvl w:val="0"/>
          <w:numId w:val="1001"/>
        </w:numPr>
      </w:pPr>
      <w:r>
        <w:rPr>
          <w:b/>
          <w:bCs/>
        </w:rPr>
        <w:t xml:space="preserve">Thermodynamic Framework Formulation:</w:t>
      </w:r>
      <w:r>
        <w:t xml:space="preserve"> </w:t>
      </w:r>
      <w:r>
        <w:t xml:space="preserve">Establish thermodynamic</w:t>
      </w:r>
      <w:r>
        <w:t xml:space="preserve"> </w:t>
      </w:r>
      <m:oMath>
        <m:r>
          <m:t>Q</m:t>
        </m:r>
        <m:r>
          <m:rPr>
            <m:sty m:val="p"/>
          </m:rPr>
          <m:t>(</m:t>
        </m:r>
        <m:r>
          <m:t>I</m:t>
        </m:r>
        <m:r>
          <m:rPr>
            <m:sty m:val="p"/>
          </m:rPr>
          <m:t>)</m:t>
        </m:r>
      </m:oMath>
      <w:r>
        <w:t xml:space="preserve"> </w:t>
      </w:r>
      <w:r>
        <w:t xml:space="preserve">isotherms across highly diverse pedoclimatic sites to calculate the true PBC, demonstrating how long-term cumulative P-balances shift the soil’s physical chemistry.</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 It is hypothesized that the thermodynamically corrected</w:t>
      </w:r>
      <w:r>
        <w:t xml:space="preserve"> </w:t>
      </w:r>
      <m:oMath>
        <m:sSub>
          <m:e>
            <m:r>
              <m:t>J</m:t>
            </m:r>
          </m:e>
          <m:sub>
            <m:r>
              <m:t>0</m:t>
            </m:r>
          </m:sub>
        </m:sSub>
      </m:oMath>
      <w:r>
        <w:t xml:space="preserve"> </w:t>
      </w:r>
      <w:r>
        <w:t xml:space="preserve">will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pPr>
        <w:pStyle w:val="FirstParagraph"/>
      </w:pPr>
    </w:p>
    <w:p>
      <w:pPr>
        <w:pStyle w:val="BodyText"/>
      </w:pPr>
      <w:r>
        <w:drawing>
          <wp:inline>
            <wp:extent cx="5334000" cy="14676823"/>
            <wp:effectExtent b="0" l="0" r="0" t="0"/>
            <wp:docPr descr="" title="" id="18" name="Picture"/>
            <a:graphic>
              <a:graphicData uri="http://schemas.openxmlformats.org/drawingml/2006/picture">
                <pic:pic>
                  <pic:nvPicPr>
                    <pic:cNvPr descr="index_files/figure-docx/mermaid-figure-2.png" id="19" name="Picture"/>
                    <pic:cNvPicPr>
                      <a:picLocks noChangeArrowheads="1" noChangeAspect="1"/>
                    </pic:cNvPicPr>
                  </pic:nvPicPr>
                  <pic:blipFill>
                    <a:blip r:embed="rId17"/>
                    <a:stretch>
                      <a:fillRect/>
                    </a:stretch>
                  </pic:blipFill>
                  <pic:spPr bwMode="auto">
                    <a:xfrm>
                      <a:off x="0" y="0"/>
                      <a:ext cx="5334000" cy="14676823"/>
                    </a:xfrm>
                    <a:prstGeom prst="rect">
                      <a:avLst/>
                    </a:prstGeom>
                    <a:noFill/>
                    <a:ln w="9525">
                      <a:noFill/>
                      <a:headEnd/>
                      <a:tailEnd/>
                    </a:ln>
                  </pic:spPr>
                </pic:pic>
              </a:graphicData>
            </a:graphic>
          </wp:inline>
        </w:drawing>
      </w:r>
    </w:p>
    <w:p>
      <w:pPr>
        <w:pStyle w:val="BodyText"/>
      </w:pPr>
    </w:p>
    <w:p>
      <w:r>
        <w:br w:type="page"/>
      </w:r>
    </w:p>
    <w:bookmarkEnd w:id="20"/>
    <w:bookmarkEnd w:id="21"/>
    <w:bookmarkStart w:id="35" w:name="sec-materials-and-methods"/>
    <w:p>
      <w:pPr>
        <w:pStyle w:val="Heading1"/>
      </w:pPr>
      <w:r>
        <w:t xml:space="preserve">2. Materials and Methods</w:t>
      </w:r>
    </w:p>
    <w:bookmarkStart w:id="22"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22"/>
    <w:bookmarkStart w:id="24" w:name="sec-experimental-sites"/>
    <w:p>
      <w:pPr>
        <w:pStyle w:val="Heading2"/>
      </w:pPr>
      <w:r>
        <w:t xml:space="preserve">2.2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3"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3"/>
          <w:p/>
        </w:tc>
      </w:tr>
    </w:tbl>
    <w:p>
      <w:pPr>
        <w:pStyle w:val="BodyText"/>
      </w:pPr>
      <w:r>
        <w:t xml:space="preserve">Soil samples for this thesis were collected in the year 2022 from the topsoil layer (0-20 cm).</w:t>
      </w:r>
    </w:p>
    <w:bookmarkEnd w:id="24"/>
    <w:bookmarkStart w:id="27" w:name="sec-phosphorus-desorption-kinetics"/>
    <w:p>
      <w:pPr>
        <w:pStyle w:val="Heading2"/>
      </w:pPr>
      <w:r>
        <w:t xml:space="preserve">2.3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25" w:name="Xbd6c1e5704c75ae9a98b5e8f17a138b0c980a04"/>
    <w:p>
      <w:pPr>
        <w:pStyle w:val="Heading3"/>
      </w:pPr>
      <w:r>
        <w:t xml:space="preserve">2.3.1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2"/>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w:t>
      </w:r>
      <w:r>
        <w:rPr>
          <w:b/>
          <w:bCs/>
        </w:rPr>
        <w:t xml:space="preserve">VanVeldhoven1987Malachite?</w:t>
      </w:r>
      <w:r>
        <w:t xml:space="preserve">)</w:t>
      </w:r>
      <w:r>
        <w:t xml:space="preserve">.</w:t>
      </w:r>
    </w:p>
    <w:bookmarkEnd w:id="25"/>
    <w:bookmarkStart w:id="26" w:name="sec-thermodynamic-correction"/>
    <w:p>
      <w:pPr>
        <w:pStyle w:val="Heading3"/>
      </w:pPr>
      <w:r>
        <w:t xml:space="preserve">2.3.2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accounts for pedochemical variances caused by differing native background salinities and pH levels across the STYCS sites, converting the raw data into a universal thermodynamic Intensity (</w:t>
      </w:r>
      <m:oMath>
        <m:r>
          <m:t>I</m:t>
        </m:r>
      </m:oMath>
      <w:r>
        <w:t xml:space="preserve">) metric.</w:t>
      </w:r>
    </w:p>
    <w:bookmarkEnd w:id="26"/>
    <w:bookmarkEnd w:id="27"/>
    <w:bookmarkStart w:id="34" w:name="sec-statistical-analysis"/>
    <w:p>
      <w:pPr>
        <w:pStyle w:val="Heading2"/>
      </w:pPr>
      <w:r>
        <w:t xml:space="preserve">2.4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28" w:name="X66c8e447a19c304ef14b8d97356eebce6eb189a"/>
    <w:p>
      <w:pPr>
        <w:pStyle w:val="Heading3"/>
      </w:pPr>
      <w:r>
        <w:t xml:space="preserve">2.4.1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28"/>
    <w:bookmarkStart w:id="29" w:name="X1cf47a909557ed9ebde43d137cb1950c10fa0a6"/>
    <w:p>
      <w:pPr>
        <w:pStyle w:val="Heading3"/>
      </w:pPr>
      <w:r>
        <w:t xml:space="preserve">2.4.2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29"/>
    <w:bookmarkStart w:id="30" w:name="X1fad81012fcba959795e5efc9d9880b48046764"/>
    <w:p>
      <w:pPr>
        <w:pStyle w:val="Heading3"/>
      </w:pPr>
      <w:r>
        <w:t xml:space="preserve">2.4.3 3. Agronomic Normalization: The Historical Baseline Strategy</w:t>
      </w:r>
    </w:p>
    <w:p>
      <w:pPr>
        <w:pStyle w:val="FirstParagraph"/>
      </w:pPr>
      <w:r>
        <w:t xml:space="preserve">To statistically evaluate the predictive power of the chemical parameters across six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removing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stable metric representing the percentage of the crop’s long-term biological potential achieved.</w:t>
      </w:r>
    </w:p>
    <w:bookmarkEnd w:id="30"/>
    <w:bookmarkStart w:id="32" w:name="X58542cabf128eedeee182ac79d5f1c7c4f09633"/>
    <w:p>
      <w:pPr>
        <w:pStyle w:val="Heading3"/>
      </w:pPr>
      <w:r>
        <w:t xml:space="preserve">2.4.4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3"/>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3"/>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tbl>
      <w:tblPr>
        <w:tblStyle w:val="Table"/>
        <w:tblW w:type="pct" w:w="5000"/>
        <w:tblLayout w:type="fixed"/>
        <w:tblLook w:firstRow="0" w:lastRow="0" w:firstColumn="0" w:lastColumn="0" w:noHBand="0" w:noVBand="0" w:val="0000"/>
      </w:tblPr>
      <w:tblGrid>
        <w:gridCol w:w="7920"/>
      </w:tblGrid>
      <w:tr>
        <w:tc>
          <w:tcPr/>
          <w:bookmarkStart w:id="31" w:name="tbl-variables-updated"/>
          <w:p>
            <w:pPr>
              <w:jc w:val="center"/>
            </w:pPr>
            <w:pPr>
              <w:jc w:val="left"/>
              <w:spacing w:before="200"/>
              <w:pStyle w:val="ImageCaption"/>
            </w:pPr>
            <w:r>
              <w:t xml:space="preserve">Table 3: Description of key variables used in the thermodynamic and agronomic models.</w:t>
            </w:r>
          </w:p>
          <w:tbl>
            <w:tblPr>
              <w:tblStyle w:val="Table"/>
              <w:tblW w:type="pct" w:w="5000"/>
              <w:tblLayout w:type="fixed"/>
              <w:tblLook w:firstRow="1" w:lastRow="0" w:firstColumn="0" w:lastColumn="0" w:noHBand="0" w:noVBand="0" w:val="0020"/>
            </w:tblPr>
            <w:tblGrid>
              <w:gridCol w:w="787"/>
              <w:gridCol w:w="1475"/>
              <w:gridCol w:w="639"/>
              <w:gridCol w:w="5017"/>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r>
                          <m:rPr>
                            <m:sty m:val="p"/>
                          </m:rPr>
                          <m:t>_</m:t>
                        </m:r>
                        <m:r>
                          <m:t>h</m:t>
                        </m:r>
                        <m:r>
                          <m:t>i</m:t>
                        </m:r>
                        <m:r>
                          <m:t>s</m:t>
                        </m:r>
                        <m:r>
                          <m:t>t</m:t>
                        </m:r>
                      </m:sub>
                    </m:sSub>
                  </m:oMath>
                </w:p>
              </w:tc>
              <w:tc>
                <w:tcPr/>
                <w:p>
                  <w:pPr>
                    <w:pStyle w:val="Compact"/>
                    <w:jc w:val="left"/>
                    <w:jc w:val="center"/>
                  </w:pPr>
                  <w:r>
                    <w:t xml:space="preserve">Relative Yield (Historic)</w:t>
                  </w:r>
                </w:p>
              </w:tc>
              <w:tc>
                <w:tcPr/>
                <w:p>
                  <w:pPr>
                    <w:pStyle w:val="Compact"/>
                    <w:jc w:val="left"/>
                    <w:jc w:val="center"/>
                  </w:pPr>
                  <w:r>
                    <w:t xml:space="preserve">unitless</w:t>
                  </w:r>
                </w:p>
              </w:tc>
              <w:tc>
                <w:tcPr/>
                <w:p>
                  <w:pPr>
                    <w:pStyle w:val="Compact"/>
                    <w:jc w:val="left"/>
                    <w:jc w:val="center"/>
                  </w:pPr>
                  <w:r>
                    <w:t xml:space="preserve">Plot yield normalized by the site/crop-specific 95th percentile of historical well-fertilized yields.</w:t>
                  </w:r>
                </w:p>
              </w:tc>
            </w:tr>
            <w:tr>
              <w:tc>
                <w:tcPr/>
                <w:p>
                  <w:pPr>
                    <w:pStyle w:val="Compact"/>
                    <w:jc w:val="left"/>
                    <w:jc w:val="center"/>
                  </w:pPr>
                  <m:oMath>
                    <m:r>
                      <m:t>U</m:t>
                    </m:r>
                    <m:r>
                      <m:t>p</m:t>
                    </m:r>
                    <m:r>
                      <m:t>t</m:t>
                    </m:r>
                    <m:r>
                      <m:t>a</m:t>
                    </m:r>
                    <m:r>
                      <m:t>k</m:t>
                    </m:r>
                    <m:sSub>
                      <m:e>
                        <m:r>
                          <m:t>e</m:t>
                        </m:r>
                      </m:e>
                      <m:sub>
                        <m:r>
                          <m:t>r</m:t>
                        </m:r>
                        <m:r>
                          <m:t>e</m:t>
                        </m:r>
                        <m:r>
                          <m:t>l</m:t>
                        </m:r>
                      </m:sub>
                    </m:sSub>
                  </m:oMath>
                </w:p>
              </w:tc>
              <w:tc>
                <w:tcPr/>
                <w:p>
                  <w:pPr>
                    <w:pStyle w:val="Compact"/>
                    <w:jc w:val="left"/>
                    <w:jc w:val="center"/>
                  </w:pPr>
                  <w:r>
                    <w:t xml:space="preserve">Relative P Uptake</w:t>
                  </w:r>
                </w:p>
              </w:tc>
              <w:tc>
                <w:tcPr/>
                <w:p>
                  <w:pPr>
                    <w:pStyle w:val="Compact"/>
                    <w:jc w:val="left"/>
                    <w:jc w:val="center"/>
                  </w:pPr>
                  <w:r>
                    <w:t xml:space="preserve">unitless</w:t>
                  </w:r>
                </w:p>
              </w:tc>
              <w:tc>
                <w:tcPr/>
                <w:p>
                  <w:pPr>
                    <w:pStyle w:val="Compact"/>
                    <w:jc w:val="left"/>
                    <w:jc w:val="center"/>
                  </w:pPr>
                  <w:r>
                    <w:t xml:space="preserve">Plot P-uptake normalized by historical maximum uptake for the specific site and crop.</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Cumulative P Balance</w:t>
                  </w:r>
                </w:p>
              </w:tc>
              <w:tc>
                <w:tcPr/>
                <w:p>
                  <w:pPr>
                    <w:pStyle w:val="Compact"/>
                    <w:jc w:val="left"/>
                    <w:jc w:val="center"/>
                  </w:pPr>
                  <w:r>
                    <w:t xml:space="preserve">kg P ha⁻¹</w:t>
                  </w:r>
                </w:p>
              </w:tc>
              <w:tc>
                <w:tcPr/>
                <w:p>
                  <w:pPr>
                    <w:pStyle w:val="Compact"/>
                    <w:jc w:val="left"/>
                    <w:jc w:val="center"/>
                  </w:pPr>
                  <w:r>
                    <w:t xml:space="preserve">Long-term net P budget (inputs minus outputs).</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w:t>
                  </w:r>
                </w:p>
              </w:tc>
            </w:tr>
            <w:tr>
              <w:tc>
                <w:tcPr/>
                <w:p>
                  <w:pPr>
                    <w:pStyle w:val="Compact"/>
                    <w:jc w:val="left"/>
                    <w:jc w:val="center"/>
                  </w:pPr>
                  <m:oMath>
                    <m:sSub>
                      <m:e>
                        <m:r>
                          <m:t>a</m:t>
                        </m:r>
                      </m:e>
                      <m:sub>
                        <m:r>
                          <m:t>m</m:t>
                        </m:r>
                        <m:r>
                          <m:t>a</m:t>
                        </m:r>
                        <m:r>
                          <m:t>x</m:t>
                        </m:r>
                      </m:sub>
                    </m:sSub>
                  </m:oMath>
                </w:p>
              </w:tc>
              <w:tc>
                <w:tcPr/>
                <w:p>
                  <w:pPr>
                    <w:pStyle w:val="Compact"/>
                    <w:jc w:val="left"/>
                    <w:jc w:val="center"/>
                  </w:pPr>
                  <w:r>
                    <w:t xml:space="preserve">Maximum Activity (Intensity)</w:t>
                  </w:r>
                </w:p>
              </w:tc>
              <w:tc>
                <w:tcPr/>
                <w:p>
                  <w:pPr>
                    <w:pStyle w:val="Compact"/>
                    <w:jc w:val="left"/>
                    <w:jc w:val="center"/>
                  </w:pPr>
                  <w:r>
                    <w:t xml:space="preserve">µM</w:t>
                  </w:r>
                </w:p>
              </w:tc>
              <w:tc>
                <w:tcPr/>
                <w:p>
                  <w:pPr>
                    <w:pStyle w:val="Compact"/>
                    <w:jc w:val="left"/>
                    <w:jc w:val="center"/>
                  </w:pPr>
                  <w:r>
                    <w:t xml:space="preserve">Davies-corrected thermodynamic activity asymptote of the water-desorbable P pool.</w:t>
                  </w:r>
                </w:p>
              </w:tc>
            </w:tr>
            <w:tr>
              <w:tc>
                <w:tcPr/>
                <w:p>
                  <w:pPr>
                    <w:pStyle w:val="Compact"/>
                    <w:jc w:val="left"/>
                    <w:jc w:val="center"/>
                  </w:pPr>
                  <m:oMath>
                    <m:sSub>
                      <m:e>
                        <m:r>
                          <m:t>J</m:t>
                        </m:r>
                      </m:e>
                      <m:sub>
                        <m:r>
                          <m:t>0</m:t>
                        </m:r>
                      </m:sub>
                    </m:sSub>
                  </m:oMath>
                </w:p>
              </w:tc>
              <w:tc>
                <w:tcPr/>
                <w:p>
                  <w:pPr>
                    <w:pStyle w:val="Compact"/>
                    <w:jc w:val="left"/>
                    <w:jc w:val="center"/>
                  </w:pPr>
                  <w:r>
                    <w:t xml:space="preserve">Activity Flux</w:t>
                  </w:r>
                </w:p>
              </w:tc>
              <w:tc>
                <w:tcPr/>
                <w:p>
                  <w:pPr>
                    <w:pStyle w:val="Compact"/>
                    <w:jc w:val="left"/>
                    <w:jc w:val="center"/>
                  </w:pPr>
                  <w:r>
                    <w:t xml:space="preserve">µM min⁻¹</w:t>
                  </w:r>
                </w:p>
              </w:tc>
              <w:tc>
                <w:tcPr/>
                <w:p>
                  <w:pPr>
                    <w:pStyle w:val="Compact"/>
                    <w:jc w:val="left"/>
                    <w:jc w:val="center"/>
                  </w:pPr>
                  <w:r>
                    <w:t xml:space="preserve">Initial thermodynamic supply rate, calculated as</w:t>
                  </w:r>
                  <w:r>
                    <w:t xml:space="preserve"> </w:t>
                  </w:r>
                  <m:oMath>
                    <m:r>
                      <m:t>k</m:t>
                    </m:r>
                    <m:r>
                      <m:rPr>
                        <m:sty m:val="p"/>
                      </m:rPr>
                      <m:t>×</m:t>
                    </m:r>
                    <m:sSub>
                      <m:e>
                        <m:r>
                          <m:t>a</m:t>
                        </m:r>
                      </m:e>
                      <m:sub>
                        <m:r>
                          <m:t>m</m:t>
                        </m:r>
                        <m:r>
                          <m:t>a</m:t>
                        </m:r>
                        <m:r>
                          <m:t>x</m:t>
                        </m:r>
                      </m:sub>
                    </m:sSub>
                  </m:oMath>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Standard Mass (Quantity)</w:t>
                  </w:r>
                </w:p>
              </w:tc>
              <w:tc>
                <w:tcPr/>
                <w:p>
                  <w:pPr>
                    <w:pStyle w:val="Compact"/>
                    <w:jc w:val="left"/>
                    <w:jc w:val="center"/>
                  </w:pPr>
                  <w:r>
                    <w:t xml:space="preserve">mg P kg⁻¹</w:t>
                  </w:r>
                </w:p>
              </w:tc>
              <w:tc>
                <w:tcPr/>
                <w:p>
                  <w:pPr>
                    <w:pStyle w:val="Compact"/>
                    <w:jc w:val="left"/>
                    <w:jc w:val="center"/>
                  </w:pPr>
                  <w:r>
                    <w:t xml:space="preserve">Physical mass of extractable P (AAE10 method), acting as the Q-factor.</w:t>
                  </w:r>
                </w:p>
              </w:tc>
            </w:tr>
            <w:tr>
              <w:tc>
                <w:tcPr/>
                <w:p>
                  <w:pPr>
                    <w:pStyle w:val="Compact"/>
                    <w:jc w:val="left"/>
                    <w:jc w:val="center"/>
                  </w:pPr>
                  <m:oMath>
                    <m:r>
                      <m:rPr>
                        <m:nor/>
                        <m:sty m:val="p"/>
                      </m:rPr>
                      <m:t>PBC</m:t>
                    </m:r>
                  </m:oMath>
                </w:p>
              </w:tc>
              <w:tc>
                <w:tcPr/>
                <w:p>
                  <w:pPr>
                    <w:pStyle w:val="Compact"/>
                    <w:jc w:val="left"/>
                    <w:jc w:val="center"/>
                  </w:pPr>
                  <w:r>
                    <w:t xml:space="preserve">Phosphorus Buffering Capacity</w:t>
                  </w:r>
                </w:p>
              </w:tc>
              <w:tc>
                <w:tcPr/>
                <w:p>
                  <w:pPr>
                    <w:pStyle w:val="Compact"/>
                    <w:jc w:val="left"/>
                    <w:jc w:val="center"/>
                  </w:pPr>
                  <w:r>
                    <w:t xml:space="preserve">mg kg⁻¹ µM⁻¹</w:t>
                  </w:r>
                </w:p>
              </w:tc>
              <w:tc>
                <w:tcPr/>
                <w:p>
                  <w:pPr>
                    <w:pStyle w:val="Compact"/>
                    <w:jc w:val="left"/>
                    <w:jc w:val="center"/>
                  </w:pPr>
                  <w:r>
                    <w:t xml:space="preserve">The mathematical derivative (</w:t>
                  </w:r>
                  <m:oMath>
                    <m:r>
                      <m:t>d</m:t>
                    </m:r>
                    <m:r>
                      <m:t>Q</m:t>
                    </m:r>
                    <m:r>
                      <m:rPr>
                        <m:sty m:val="p"/>
                      </m:rPr>
                      <m:t>/</m:t>
                    </m:r>
                    <m:r>
                      <m:t>d</m:t>
                    </m:r>
                    <m:r>
                      <m:t>I</m:t>
                    </m:r>
                  </m:oMath>
                  <w:r>
                    <w:t xml:space="preserve">) of the site-specific Freundlich isotherm.</w:t>
                  </w:r>
                </w:p>
              </w:tc>
            </w:tr>
          </w:tbl>
          <w:bookmarkEnd w:id="31"/>
          <w:p/>
        </w:tc>
      </w:tr>
    </w:tbl>
    <w:bookmarkEnd w:id="32"/>
    <w:bookmarkStart w:id="33" w:name="X44bb14175a86972320c11f91acf6da54ae42ffd"/>
    <w:p>
      <w:pPr>
        <w:pStyle w:val="Heading3"/>
      </w:pPr>
      <w:r>
        <w:t xml:space="preserve">2.4.5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p>
      <w:r>
        <w:br w:type="page"/>
      </w:r>
    </w:p>
    <w:p>
      <w:r>
        <w:br w:type="page"/>
      </w:r>
    </w:p>
    <w:p>
      <w:r>
        <w:br w:type="page"/>
      </w:r>
    </w:p>
    <w:p>
      <w:r>
        <w:br w:type="page"/>
      </w:r>
    </w:p>
    <w:p>
      <w:r>
        <w:br w:type="page"/>
      </w:r>
    </w:p>
    <w:bookmarkEnd w:id="33"/>
    <w:bookmarkEnd w:id="34"/>
    <w:bookmarkEnd w:id="35"/>
    <w:bookmarkStart w:id="46" w:name="references"/>
    <w:p>
      <w:pPr>
        <w:pStyle w:val="Heading1"/>
      </w:pPr>
      <w:r>
        <w:t xml:space="preserve">3. References</w:t>
      </w:r>
    </w:p>
    <w:bookmarkStart w:id="45" w:name="refs"/>
    <w:bookmarkStart w:id="37"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36">
        <w:r>
          <w:rPr>
            <w:rStyle w:val="Hyperlink"/>
          </w:rPr>
          <w:t xml:space="preserve">https://github.com/lme4/lme4/</w:t>
        </w:r>
      </w:hyperlink>
    </w:p>
    <w:bookmarkEnd w:id="37"/>
    <w:bookmarkStart w:id="38"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38"/>
    <w:bookmarkStart w:id="40"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39">
        <w:r>
          <w:rPr>
            <w:rStyle w:val="Hyperlink"/>
          </w:rPr>
          <w:t xml:space="preserve">https://doi.org/10.1016/j.scitotenv.2020.143453</w:t>
        </w:r>
      </w:hyperlink>
    </w:p>
    <w:bookmarkEnd w:id="40"/>
    <w:bookmarkStart w:id="42"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41">
        <w:r>
          <w:rPr>
            <w:rStyle w:val="Hyperlink"/>
          </w:rPr>
          <w:t xml:space="preserve">https://svn.r-project.org/R-packages/trunk/nlme/</w:t>
        </w:r>
      </w:hyperlink>
    </w:p>
    <w:bookmarkEnd w:id="42"/>
    <w:bookmarkStart w:id="44"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3">
        <w:r>
          <w:rPr>
            <w:rStyle w:val="Hyperlink"/>
          </w:rPr>
          <w:t xml:space="preserve">https://doi.org/10.32614/R.manuals</w:t>
        </w:r>
      </w:hyperlink>
    </w:p>
    <w:bookmarkEnd w:id="44"/>
    <w:bookmarkEnd w:id="45"/>
    <w:p>
      <w:r>
        <w:br w:type="page"/>
      </w:r>
    </w:p>
    <w:p>
      <w:r>
        <w:br w:type="page"/>
      </w:r>
    </w:p>
    <w:bookmarkEnd w:id="46"/>
    <w:bookmarkStart w:id="52"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47"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47"/>
    <w:bookmarkStart w:id="48"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true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48"/>
    <w:bookmarkStart w:id="51"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4"/>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4"/>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4"/>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true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49">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50">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scitotenv.2020.143453" TargetMode="External" /><Relationship Type="http://schemas.openxmlformats.org/officeDocument/2006/relationships/hyperlink" Id="rId43" Target="https://doi.org/10.32614/R.manuals" TargetMode="External" /><Relationship Type="http://schemas.openxmlformats.org/officeDocument/2006/relationships/hyperlink" Id="rId36" Target="https://github.com/lme4/lme4/" TargetMode="External" /><Relationship Type="http://schemas.openxmlformats.org/officeDocument/2006/relationships/hyperlink" Id="rId49" Target="https://github.com/ptochosgeorgos/Article-P-desorption-kinetics" TargetMode="External" /><Relationship Type="http://schemas.openxmlformats.org/officeDocument/2006/relationships/hyperlink" Id="rId50" Target="https://ptochosgeorgos.github.io/Article-P-desorption-kinetics/" TargetMode="External" /><Relationship Type="http://schemas.openxmlformats.org/officeDocument/2006/relationships/hyperlink" Id="rId41"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 Emmanuel Frossard</dc:creator>
  <cp:keywords/>
  <dcterms:created xsi:type="dcterms:W3CDTF">2026-06-05T10:59:58Z</dcterms:created>
  <dcterms:modified xsi:type="dcterms:W3CDTF">2026-06-05T10:59:58Z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2026-06-05</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