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2.png" ContentType="image/png"/>
  <Override PartName="/word/media/rId71.png" ContentType="image/png"/>
  <Override PartName="/word/media/rId67.png" ContentType="image/png"/>
  <Override PartName="/word/media/rId57.png" ContentType="image/png"/>
  <Override PartName="/word/media/rId53.png" ContentType="image/png"/>
  <Override PartName="/word/media/rId61.png" ContentType="image/png"/>
  <Override PartName="/word/media/rId47.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2026-09-20</w:t>
      </w:r>
    </w:p>
    <w:p>
      <w:pPr>
        <w:pStyle w:val="AbstractTitle"/>
      </w:pPr>
      <w:r>
        <w:t xml:space="preserve">Abstract</w:t>
      </w:r>
    </w:p>
    <w:p>
      <w:pPr>
        <w:pStyle w:val="Abstract"/>
      </w:pPr>
      <w:r>
        <w:t xml:space="preserve">Current empirical Soil Test Phosphorus (STP) methods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use static pools and arbitrary supply classes that ignore the physics of how soils release P over time. In this study, we evaluate… [Insert full abstract here]</w:t>
      </w:r>
    </w:p>
    <w:bookmarkStart w:id="19"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e</m:t>
            </m:r>
            <m:r>
              <m:t>x</m:t>
            </m:r>
            <m:r>
              <m:t>t</m:t>
            </m:r>
            <m:sSub>
              <m:e>
                <m:r>
                  <m:t>C</m:t>
                </m:r>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e</m:t>
            </m:r>
            <m:r>
              <m:t>x</m:t>
            </m:r>
            <m:r>
              <m:t>t</m:t>
            </m:r>
            <m:r>
              <m:t>u</m:t>
            </m:r>
            <m:r>
              <m:t>p</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2" w:name="Xe744c6532be9a1889cb6c6bc9f2edc895b7531d"/>
    <w:p>
      <w:pPr>
        <w:pStyle w:val="Heading2"/>
      </w:pPr>
      <w:r>
        <w:t xml:space="preserve">1.4 Grounding Agronomy in Thermodynamic Principles</w:t>
      </w:r>
    </w:p>
    <w:p>
      <w:pPr>
        <w:pStyle w:val="FirstParagraph"/>
      </w:pPr>
      <w:r>
        <w:t xml:space="preserve">Standard agronomic models frequently rely on empirical curve-fitting, utilizing polynomials or arbitrary linear regressions to maximize</w:t>
      </w:r>
      <w:r>
        <w:t xml:space="preserve"> </w:t>
      </w:r>
      <m:oMath>
        <m:sSup>
          <m:e>
            <m:r>
              <m:t>R</m:t>
            </m:r>
          </m:e>
          <m:sup>
            <m:r>
              <m:t>2</m:t>
            </m:r>
          </m:sup>
        </m:sSup>
      </m:oMath>
      <w:r>
        <w:t xml:space="preserve"> </w:t>
      </w:r>
      <w:r>
        <w:t xml:space="preserve">values across calibration datasets. While these models may perfectly describe a specific field trial, their parameters are often</w:t>
      </w:r>
      <w:r>
        <w:t xml:space="preserve"> </w:t>
      </w:r>
      <w:r>
        <w:t xml:space="preserve">“dead”</w:t>
      </w:r>
      <w:r>
        <w:t xml:space="preserve">—lacking physical meaning and failing spectacularly when extrapolated beyond the calibration environment.</w:t>
      </w:r>
    </w:p>
    <w:p>
      <w:pPr>
        <w:pStyle w:val="BodyText"/>
      </w:pPr>
      <w:r>
        <w:t xml:space="preserve">To overcome this, we adopt a more fundamental approach grounded in Thermodynamic Perturbation Theory. By translating empirical extractions into thermodynamic state functions, our models inherit several critical virtues from established physical chemistry frameworks:</w:t>
      </w:r>
    </w:p>
    <w:p>
      <w:pPr>
        <w:pStyle w:val="Compact"/>
        <w:numPr>
          <w:ilvl w:val="0"/>
          <w:numId w:val="1001"/>
        </w:numPr>
      </w:pPr>
      <w:r>
        <w:rPr>
          <w:b/>
          <w:bCs/>
        </w:rPr>
        <w:t xml:space="preserve">Method-Agnosticism and Harmonization</w:t>
      </w:r>
      <w:r>
        <w:t xml:space="preserve">: Standard extractions (e.g., Olsen-P at pH 8.5 vs. water extractions at pH ~6) violently alter the chemical equilibrium, making raw extract concentrations across national borders fundamentally incomparable. However, by abstracting these operational extracts into fundamental Quantity (</w:t>
      </w:r>
      <m:oMath>
        <m:r>
          <m:t>Q</m:t>
        </m:r>
      </m:oMath>
      <w:r>
        <w:t xml:space="preserve">) and Intensity (</w:t>
      </w:r>
      <m:oMath>
        <m:r>
          <m:t>I</m:t>
        </m:r>
      </m:oMath>
      <w:r>
        <w:t xml:space="preserve">) metrics—and utilizing models like the Davies or Pitzer equations to isolate true thermodynamic activities—we strip away the artifacts of the extractant’s ionic strength. This thermodynamic translation is the only mathematically rigorous path to harmonizing disparate regional soil tests.</w:t>
      </w:r>
    </w:p>
    <w:p>
      <w:pPr>
        <w:pStyle w:val="Compact"/>
        <w:numPr>
          <w:ilvl w:val="0"/>
          <w:numId w:val="1001"/>
        </w:numPr>
      </w:pPr>
      <w:r>
        <w:rPr>
          <w:b/>
          <w:bCs/>
        </w:rPr>
        <w:t xml:space="preserve">Interpretability via Surface Complexation</w:t>
      </w:r>
      <w:r>
        <w:t xml:space="preserve">: Our parameters are not meaningless regression weights; they are macroscopic reflections of underlying physical phenomena. For example, predicting a kinetic rate constant (</w:t>
      </w:r>
      <m:oMath>
        <m:r>
          <m:t>k</m:t>
        </m:r>
      </m:oMath>
      <w:r>
        <w:t xml:space="preserve">) using the ratio of amorphous aluminum to iron oxides (</w:t>
      </w:r>
      <m:oMath>
        <m:r>
          <m:t>A</m:t>
        </m:r>
        <m:sSub>
          <m:e>
            <m:r>
              <m:t>l</m:t>
            </m:r>
          </m:e>
          <m:sub>
            <m:r>
              <m:rPr>
                <m:nor/>
                <m:sty m:val="p"/>
              </m:rPr>
              <m:t>ox</m:t>
            </m:r>
          </m:sub>
        </m:sSub>
        <m:r>
          <m:rPr>
            <m:sty m:val="p"/>
          </m:rPr>
          <m:t>/</m:t>
        </m:r>
        <m:r>
          <m:t>F</m:t>
        </m:r>
        <m:sSub>
          <m:e>
            <m:r>
              <m:t>e</m:t>
            </m:r>
          </m:e>
          <m:sub>
            <m:r>
              <m:rPr>
                <m:nor/>
                <m:sty m:val="p"/>
              </m:rPr>
              <m:t>ox</m:t>
            </m:r>
          </m:sub>
        </m:sSub>
      </m:oMath>
      <w:r>
        <w:t xml:space="preserve">) directly maps to the distinct electrostatic and lateral repulsion perturbations operating on independent mineral sub-lattices. This mirrors advanced surface complexation frameworks, such as the CD-MUSIC model implemented in Visual MINTEQ by Gustafsson and colleagues</w:t>
      </w:r>
      <w:r>
        <w:t xml:space="preserve"> </w:t>
      </w:r>
      <w:r>
        <w:t xml:space="preserve">(Gustafsson, 2001, 2014)</w:t>
      </w:r>
      <w:r>
        <w:t xml:space="preserve">, which definitively prove that P adsorption non-linearity is governed by spatial charge distribution on specific Fe/Al (hydr)oxide surfaces rather than empirical constants.</w:t>
      </w:r>
    </w:p>
    <w:p>
      <w:pPr>
        <w:pStyle w:val="Compact"/>
        <w:numPr>
          <w:ilvl w:val="0"/>
          <w:numId w:val="1001"/>
        </w:numPr>
      </w:pPr>
      <w:r>
        <w:rPr>
          <w:b/>
          <w:bCs/>
        </w:rPr>
        <w:t xml:space="preserve">Modularity and Expansion</w:t>
      </w:r>
      <w:r>
        <w:t xml:space="preserve">: This approach imports the success of these advanced geochemical models into agronomy. Grounding our agronomic variables in the Gibbs Free Energy expansion provides a rigid mathematical scaffolding that is physically defensible at the thermodynamic boundaries.</w:t>
      </w:r>
    </w:p>
    <w:p>
      <w:pPr>
        <w:pStyle w:val="FirstParagraph"/>
      </w:pPr>
      <w:r>
        <w:t xml:space="preserve">This theoretical foundation ensures that the model coefficients are physically defensible. Furthermore, it paves the way for advanced statistical updating (e.g., Bayesian inference), allowing future research to introduce meaningful, mechanistic parameterizations rather than blindly chasing variance with higher-order polynomials. We intentionally accept that biological pedoclimatic noise will inevitably lower apparent</w:t>
      </w:r>
      <w:r>
        <w:t xml:space="preserve"> </w:t>
      </w:r>
      <m:oMath>
        <m:sSup>
          <m:e>
            <m:r>
              <m:t>R</m:t>
            </m:r>
          </m:e>
          <m:sup>
            <m:r>
              <m:t>2</m:t>
            </m:r>
          </m:sup>
        </m:sSup>
      </m:oMath>
      <w:r>
        <w:t xml:space="preserve"> </w:t>
      </w:r>
      <w:r>
        <w:t xml:space="preserve">values in field trials; our objective is structural truth, not mathematical overfitting.</w:t>
      </w:r>
    </w:p>
    <w:bookmarkEnd w:id="12"/>
    <w:bookmarkStart w:id="17" w:name="X0df14ae5fe92d7e25c8e3c02aaf1e482be40b94"/>
    <w:p>
      <w:pPr>
        <w:pStyle w:val="Heading2"/>
      </w:pPr>
      <w:r>
        <w:t xml:space="preserve">1.5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rPr>
                <m:nor/>
                <m:sty m:val="p"/>
              </m:rPr>
              <m:t>AAE10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While the Freundlich model (</w:t>
      </w:r>
      <m:oMath>
        <m:r>
          <m:t>Q</m:t>
        </m:r>
        <m:r>
          <m:rPr>
            <m:sty m:val="p"/>
          </m:rPr>
          <m:t>=</m:t>
        </m:r>
        <m:sSub>
          <m:e>
            <m:r>
              <m:t>K</m:t>
            </m:r>
          </m:e>
          <m:sub>
            <m:r>
              <m:t>f</m:t>
            </m:r>
          </m:sub>
        </m:sSub>
        <m:r>
          <m:rPr>
            <m:sty m:val="p"/>
          </m:rPr>
          <m:t>⋅</m:t>
        </m:r>
        <m:sSup>
          <m:e>
            <m:r>
              <m:t>I</m:t>
            </m:r>
          </m:e>
          <m:sup>
            <m:r>
              <m:t>1</m:t>
            </m:r>
            <m:r>
              <m:rPr>
                <m:sty m:val="p"/>
              </m:rPr>
              <m:t>/</m:t>
            </m:r>
            <m:r>
              <m:t>n</m:t>
            </m:r>
          </m:sup>
        </m:sSup>
      </m:oMath>
      <w:r>
        <w:t xml:space="preserve">) is mathematically invalid at absolute thermodynamic extremes—failing Henry’s Law near infinite dilution and predicting infinite adsorption rather than a strict saturation limit—it is the correct analytical approximation for operational agricultural soils. Comprehensive heterogeneous models, such as the Langmuir-Freundlich (Sips) or Toth equations, incorporate a saturation denominator (</w:t>
      </w:r>
      <m:oMath>
        <m:r>
          <m:t>1</m:t>
        </m:r>
        <m:r>
          <m:rPr>
            <m:sty m:val="p"/>
          </m:rPr>
          <m:t>+</m:t>
        </m:r>
        <m:r>
          <m:rPr>
            <m:sty m:val="p"/>
          </m:rPr>
          <m:t>(</m:t>
        </m:r>
        <m:r>
          <m:t>a</m:t>
        </m:r>
        <m:r>
          <m:t>I</m:t>
        </m:r>
        <m:sSup>
          <m:e>
            <m:r>
              <m:rPr>
                <m:sty m:val="p"/>
              </m:rPr>
              <m:t>)</m:t>
            </m:r>
          </m:e>
          <m:sup>
            <m:r>
              <m:t>n</m:t>
            </m:r>
          </m:sup>
        </m:sSup>
      </m:oMath>
      <w:r>
        <w:t xml:space="preserve">) to enforce a physical maximum. However, agricultural soils operate strictly within the mid-range of the affinity distribution, far below total surface saturation. In this localized</w:t>
      </w:r>
      <w:r>
        <w:t xml:space="preserve"> </w:t>
      </w:r>
      <w:r>
        <w:t xml:space="preserve">“Goldilocks”</w:t>
      </w:r>
      <w:r>
        <w:t xml:space="preserve"> </w:t>
      </w:r>
      <w:r>
        <w:t xml:space="preserve">zone, the saturation term becomes negligible, and the complex Sips and Toth equations collapse mathematically into the classical Freundlich isotherm. Thus, we utilize the Freundlich exponent (</w:t>
      </w:r>
      <m:oMath>
        <m:r>
          <m:t>1</m:t>
        </m:r>
        <m:r>
          <m:rPr>
            <m:sty m:val="p"/>
          </m:rPr>
          <m:t>/</m:t>
        </m:r>
        <m:r>
          <m:t>n</m:t>
        </m:r>
      </m:oMath>
      <w:r>
        <w:t xml:space="preserve">) not as a universal law, but as the mathematically exact, localized variance of binding energies across the heterogeneous</w:t>
      </w:r>
      <w:r>
        <w:t xml:space="preserve"> </w:t>
      </w:r>
      <m:oMath>
        <m:r>
          <m:t>A</m:t>
        </m:r>
        <m:sSub>
          <m:e>
            <m:r>
              <m:t>l</m:t>
            </m:r>
          </m:e>
          <m:sub>
            <m:r>
              <m:rPr>
                <m:nor/>
                <m:sty m:val="p"/>
              </m:rPr>
              <m:t>ox</m:t>
            </m:r>
          </m:sub>
        </m:sSub>
      </m:oMath>
      <w:r>
        <w:t xml:space="preserve"> </w:t>
      </w:r>
      <w:r>
        <w:t xml:space="preserve">and</w:t>
      </w:r>
      <w:r>
        <w:t xml:space="preserve"> </w:t>
      </w:r>
      <m:oMath>
        <m:r>
          <m:t>F</m:t>
        </m:r>
        <m:sSub>
          <m:e>
            <m:r>
              <m:t>e</m:t>
            </m:r>
          </m:e>
          <m:sub>
            <m:r>
              <m:rPr>
                <m:nor/>
                <m:sty m:val="p"/>
              </m:rPr>
              <m:t>ox</m:t>
            </m:r>
          </m:sub>
        </m:sSub>
      </m:oMath>
      <w:r>
        <w:t xml:space="preserve"> </w:t>
      </w:r>
      <w:r>
        <w:t xml:space="preserve">sub-lattices.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e</m:t>
                        </m:r>
                        <m:r>
                          <m:t>x</m:t>
                        </m:r>
                        <m:r>
                          <m:t>t</m:t>
                        </m:r>
                        <m:sSub>
                          <m:e>
                            <m:r>
                              <m:t>C</m:t>
                            </m:r>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e</m:t>
                        </m:r>
                        <m:r>
                          <m:t>x</m:t>
                        </m:r>
                        <m:r>
                          <m:t>t</m:t>
                        </m:r>
                        <m:sSub>
                          <m:e>
                            <m:r>
                              <m:t>C</m:t>
                            </m:r>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3"/>
          <w:p/>
        </w:tc>
      </w:tr>
    </w:tbl>
    <w:p>
      <w:pPr>
        <w:pStyle w:val="CaptionedFigure"/>
      </w:pPr>
      <w:r>
        <w:drawing>
          <wp:inline>
            <wp:extent cx="5334000" cy="2290344"/>
            <wp:effectExtent b="0" l="0" r="0" t="0"/>
            <wp:docPr descr="Conceptual model of the rhizosphere phosphorus cycle." title="" id="15" name="Picture"/>
            <a:graphic>
              <a:graphicData uri="http://schemas.openxmlformats.org/drawingml/2006/picture">
                <pic:pic>
                  <pic:nvPicPr>
                    <pic:cNvPr descr="index_files/figure-docx/unnamed-chunk-1-1.png" id="16" name="Picture"/>
                    <pic:cNvPicPr>
                      <a:picLocks noChangeArrowheads="1" noChangeAspect="1"/>
                    </pic:cNvPicPr>
                  </pic:nvPicPr>
                  <pic:blipFill>
                    <a:blip r:embed="rId14"/>
                    <a:stretch>
                      <a:fillRect/>
                    </a:stretch>
                  </pic:blipFill>
                  <pic:spPr bwMode="auto">
                    <a:xfrm>
                      <a:off x="0" y="0"/>
                      <a:ext cx="5334000" cy="229034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7"/>
    <w:bookmarkStart w:id="18" w:name="Xdfc87357402a84a9eb1512aa38aef947e1492a3"/>
    <w:p>
      <w:pPr>
        <w:pStyle w:val="Heading2"/>
      </w:pPr>
      <w:r>
        <w:t xml:space="preserve">1.6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2"/>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e</m:t>
            </m:r>
            <m:r>
              <m:t>x</m:t>
            </m:r>
            <m:r>
              <m:t>t</m:t>
            </m:r>
            <m:sSub>
              <m:e>
                <m:r>
                  <m:t>C</m:t>
                </m:r>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2"/>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2"/>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8"/>
    <w:bookmarkEnd w:id="19"/>
    <w:bookmarkStart w:id="41" w:name="sec-materials-and-methods"/>
    <w:p>
      <w:pPr>
        <w:pStyle w:val="Heading1"/>
      </w:pPr>
      <w:r>
        <w:t xml:space="preserve">2. Materials and Methods</w:t>
      </w:r>
    </w:p>
    <w:bookmarkStart w:id="21"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20"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rPr>
                <m:nor/>
                <m:sty m:val="p"/>
              </m:rPr>
              <m:t>uptake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rPr>
            <m:nor/>
            <m:sty m:val="p"/>
          </m:rPr>
          <m:t>bal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rPr>
            <m:nor/>
            <m:sty m:val="p"/>
          </m:rPr>
          <m:t>bal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20"/>
    <w:bookmarkEnd w:id="21"/>
    <w:bookmarkStart w:id="25"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7230"/>
            <wp:effectExtent b="0" l="0" r="0" t="0"/>
            <wp:docPr descr="Modular workflow synchronizing data sources, extraction methods, and mathematical models." title="" id="23" name="Picture"/>
            <a:graphic>
              <a:graphicData uri="http://schemas.openxmlformats.org/drawingml/2006/picture">
                <pic:pic>
                  <pic:nvPicPr>
                    <pic:cNvPr descr="index_files/figure-docx/unnamed-chunk-2-1.png" id="24" name="Picture"/>
                    <pic:cNvPicPr>
                      <a:picLocks noChangeArrowheads="1" noChangeAspect="1"/>
                    </pic:cNvPicPr>
                  </pic:nvPicPr>
                  <pic:blipFill>
                    <a:blip r:embed="rId22"/>
                    <a:stretch>
                      <a:fillRect/>
                    </a:stretch>
                  </pic:blipFill>
                  <pic:spPr bwMode="auto">
                    <a:xfrm>
                      <a:off x="0" y="0"/>
                      <a:ext cx="5334000" cy="2977230"/>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5"/>
    <w:bookmarkStart w:id="27"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6"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6"/>
          <w:p/>
        </w:tc>
      </w:tr>
    </w:tbl>
    <w:p>
      <w:pPr>
        <w:pStyle w:val="BodyText"/>
      </w:pPr>
      <w:r>
        <w:t xml:space="preserve">Soil samples for this thesis were collected in the year 2022 from the topsoil layer (0-20 cm).</w:t>
      </w:r>
    </w:p>
    <w:bookmarkEnd w:id="27"/>
    <w:bookmarkStart w:id="30"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8"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3"/>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3"/>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3"/>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8"/>
    <w:bookmarkStart w:id="29"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rPr>
                <m:nor/>
                <m:sty m:val="p"/>
              </m:rPr>
              <m:t>ox</m:t>
            </m:r>
          </m:sub>
        </m:sSub>
      </m:oMath>
      <w:r>
        <w:t xml:space="preserve">,</w:t>
      </w:r>
      <w:r>
        <w:t xml:space="preserve"> </w:t>
      </w:r>
      <m:oMath>
        <m:r>
          <m:t>A</m:t>
        </m:r>
        <m:sSub>
          <m:e>
            <m:r>
              <m:t>l</m:t>
            </m:r>
          </m:e>
          <m:sub>
            <m:r>
              <m:rPr>
                <m:nor/>
                <m:sty m:val="p"/>
              </m:rPr>
              <m:t>ox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9"/>
    <w:bookmarkEnd w:id="30"/>
    <w:bookmarkStart w:id="40"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1"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rPr>
                  <m:nor/>
                  <m:sty m:val="p"/>
                </m:rPr>
                <m:t>max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rPr>
                <m:nor/>
                <m:sty m:val="p"/>
              </m:rPr>
              <m:t>max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rPr>
                <m:nor/>
                <m:sty m:val="p"/>
              </m:rPr>
              <m:t>min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rPr>
                <m:nor/>
                <m:sty m:val="p"/>
              </m:rPr>
              <m:t>ox</m:t>
            </m:r>
          </m:sub>
        </m:sSub>
        <m:r>
          <m:rPr>
            <m:sty m:val="p"/>
          </m:rPr>
          <m:t>/</m:t>
        </m:r>
        <m:r>
          <m:t>F</m:t>
        </m:r>
        <m:sSub>
          <m:e>
            <m:r>
              <m:t>e</m:t>
            </m:r>
          </m:e>
          <m:sub>
            <m:r>
              <m:rPr>
                <m:nor/>
                <m:sty m:val="p"/>
              </m:rPr>
              <m:t>ox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sSub>
                <m:e>
                  <m:r>
                    <m:rPr>
                      <m:nor/>
                      <m:sty m:val="p"/>
                    </m:rPr>
                    <m:t>CO</m:t>
                  </m:r>
                </m:e>
                <m:sub>
                  <m:r>
                    <m:t>2</m:t>
                  </m:r>
                </m:sub>
              </m:sSub>
            </m:sub>
          </m:sSub>
        </m:oMath>
      </m:oMathPara>
    </w:p>
    <w:bookmarkEnd w:id="31"/>
    <w:bookmarkStart w:id="32"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rPr>
                <m:nor/>
                <m:sty m:val="p"/>
              </m:rPr>
              <m:t>AAE10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rPr>
                <m:nor/>
                <m:sty m:val="p"/>
              </m:rPr>
              <m:t>max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rPr>
                <m:nor/>
                <m:sty m:val="p"/>
              </m:rPr>
              <m:t>AAE10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rPr>
                <m:nor/>
                <m:sty m:val="p"/>
              </m:rPr>
              <m:t>AAE10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4"/>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rPr>
                <m:nor/>
                <m:sty m:val="p"/>
              </m:rPr>
              <m:t>org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4"/>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4"/>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2"/>
    <w:bookmarkStart w:id="33"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rPr>
                  <m:nor/>
                  <m:sty m:val="p"/>
                </m:rPr>
                <m:t>rel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empirical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3"/>
    <w:bookmarkStart w:id="34" w:name="bayesian-modeling-of-agronomic-outcomes"/>
    <w:p>
      <w:pPr>
        <w:pStyle w:val="Heading3"/>
      </w:pPr>
      <w:r>
        <w:t xml:space="preserve">2.5.4 4. Bayesian Modeling of Agronomic Outcomes</w:t>
      </w:r>
    </w:p>
    <w:p>
      <w:pPr>
        <w:pStyle w:val="FirstParagraph"/>
      </w:pPr>
      <w:r>
        <w:t xml:space="preserve">To test the core hypothesis and rigorously handle the structural heteroskedasticity inherent in agronomic field data, the biological response variables were modeled using Bayesian non-linear mixed-effects models via the</w:t>
      </w:r>
      <w:r>
        <w:t xml:space="preserve"> </w:t>
      </w:r>
      <w:r>
        <w:rPr>
          <w:rStyle w:val="VerbatimChar"/>
        </w:rPr>
        <w:t xml:space="preserve">brms</w:t>
      </w:r>
      <w:r>
        <w:t xml:space="preserve"> </w:t>
      </w:r>
      <w:r>
        <w:t xml:space="preserve">package</w:t>
      </w:r>
      <w:r>
        <w:t xml:space="preserve"> </w:t>
      </w:r>
      <w:r>
        <w:t xml:space="preserve">(</w:t>
      </w:r>
      <w:r>
        <w:rPr>
          <w:b/>
          <w:bCs/>
        </w:rPr>
        <w:t xml:space="preserve">bürknerBrmsPackageBayesian2017?</w:t>
      </w:r>
      <w:r>
        <w:t xml:space="preserve">)</w:t>
      </w:r>
      <w:r>
        <w:t xml:space="preserve">. Unlike frequentist approaches that often suffer from algorithmic convergence failures (singularities) when fitting complex asymptotes near biological boundaries, the Bayesian framework allows us to define mathematically rigorous, biologically grounded priors to constrain the parameter space.</w:t>
      </w:r>
    </w:p>
    <w:p>
      <w:pPr>
        <w:pStyle w:val="BodyText"/>
      </w:pPr>
      <w:r>
        <w:t xml:space="preserve">Due to the extreme non-linearity of the models—which multiply asymptotic kinetics by exponential environmental covariates across hundreds of random intercepts—the computational load was massive. The models were compiled and executed using the highly optimized</w:t>
      </w:r>
      <w:r>
        <w:t xml:space="preserve"> </w:t>
      </w:r>
      <w:r>
        <w:rPr>
          <w:rStyle w:val="VerbatimChar"/>
        </w:rPr>
        <w:t xml:space="preserve">cmdstanr</w:t>
      </w:r>
      <w:r>
        <w:t xml:space="preserve"> </w:t>
      </w:r>
      <w:r>
        <w:t xml:space="preserve">backend</w:t>
      </w:r>
      <w:r>
        <w:t xml:space="preserve"> </w:t>
      </w:r>
      <w:r>
        <w:t xml:space="preserve">(</w:t>
      </w:r>
      <w:r>
        <w:rPr>
          <w:b/>
          <w:bCs/>
        </w:rPr>
        <w:t xml:space="preserve">gabry2023cmdstanr?</w:t>
      </w:r>
      <w:r>
        <w:t xml:space="preserve">)</w:t>
      </w:r>
      <w:r>
        <w:t xml:space="preserve">, enabling within-chain multi-threading to parallelize the Hamiltonian trajectories. All models utilized the No-U-Turn Sampler (NUTS) with four Markov Chain Monte Carlo (MCMC) chains, each running for 2000 iterations (1000 warmup), ensuring robust exploration of the posterior distributions.</w:t>
      </w:r>
    </w:p>
    <w:bookmarkEnd w:id="34"/>
    <w:bookmarkStart w:id="36" w:name="Xb6ddeb8427c7e829060393865147dca9289a8a5"/>
    <w:p>
      <w:pPr>
        <w:pStyle w:val="Heading3"/>
      </w:pPr>
      <w:r>
        <w:t xml:space="preserve">2.5.5 The Bayesian Fragility of the Mitscherlich Equation</w:t>
      </w:r>
    </w:p>
    <w:p>
      <w:pPr>
        <w:pStyle w:val="FirstParagraph"/>
      </w:pPr>
      <w:r>
        <w:t xml:space="preserve">While the Mitscherlich equation (</w:t>
      </w:r>
      <m:oMath>
        <m:r>
          <m:t>Y</m:t>
        </m:r>
        <m:r>
          <m:rPr>
            <m:sty m:val="p"/>
          </m:rPr>
          <m:t>=</m:t>
        </m:r>
        <m:r>
          <m:t>A</m:t>
        </m:r>
        <m:r>
          <m:rPr>
            <m:sty m:val="p"/>
          </m:rPr>
          <m:t>−</m:t>
        </m:r>
        <m:r>
          <m:rPr>
            <m:sty m:val="p"/>
          </m:rPr>
          <m:t>(</m:t>
        </m:r>
        <m:r>
          <m:t>A</m:t>
        </m:r>
        <m:r>
          <m:rPr>
            <m:sty m:val="p"/>
          </m:rPr>
          <m:t>−</m:t>
        </m:r>
        <m:sSub>
          <m:e>
            <m:r>
              <m:t>Y</m:t>
            </m:r>
          </m:e>
          <m:sub>
            <m:r>
              <m:t>0</m:t>
            </m:r>
          </m:sub>
        </m:sSub>
        <m:r>
          <m:rPr>
            <m:sty m:val="p"/>
          </m:rPr>
          <m:t>)</m:t>
        </m:r>
        <m:sSup>
          <m:e>
            <m:r>
              <m:t>e</m:t>
            </m:r>
          </m:e>
          <m:sup>
            <m:r>
              <m:rPr>
                <m:sty m:val="p"/>
              </m:rPr>
              <m:t>−</m:t>
            </m:r>
            <m:r>
              <m:t>c</m:t>
            </m:r>
            <m:r>
              <m:t>P</m:t>
            </m:r>
          </m:sup>
        </m:sSup>
      </m:oMath>
      <w:r>
        <w:t xml:space="preserve">) is the historical standard for modeling diminishing agronomic returns, it proved mathematically fragile within a Bayesian Hierarchical framework. When attempting to decompose the rate constant into pedoclimatic covariates (</w:t>
      </w:r>
      <m:oMath>
        <m:sSub>
          <m:e>
            <m:r>
              <m:t>c</m:t>
            </m:r>
          </m:e>
          <m:sub>
            <m:r>
              <m:rPr>
                <m:nor/>
                <m:sty m:val="p"/>
              </m:rPr>
              <m:t>eff</m:t>
            </m:r>
          </m:sub>
        </m:sSub>
        <m:r>
          <m:rPr>
            <m:sty m:val="p"/>
          </m:rPr>
          <m:t>=</m:t>
        </m:r>
        <m:sSub>
          <m:e>
            <m:r>
              <m:t>c</m:t>
            </m:r>
          </m:e>
          <m:sub>
            <m:r>
              <m:rPr>
                <m:nor/>
                <m:sty m:val="p"/>
              </m:rPr>
              <m:t>base</m:t>
            </m:r>
          </m:sub>
        </m:sSub>
        <m:r>
          <m:rPr>
            <m:sty m:val="p"/>
          </m:rPr>
          <m:t>+</m:t>
        </m:r>
        <m:r>
          <m:t>β</m:t>
        </m:r>
        <m:r>
          <m:t>X</m:t>
        </m:r>
      </m:oMath>
      <w:r>
        <w:t xml:space="preserve">), the parameter space became algebraically unbounded. Random-walk sampling of extreme negative</w:t>
      </w:r>
      <w:r>
        <w:t xml:space="preserve"> </w:t>
      </w:r>
      <m:oMath>
        <m:r>
          <m:t>β</m:t>
        </m:r>
      </m:oMath>
      <w:r>
        <w:t xml:space="preserve"> </w:t>
      </w:r>
      <w:r>
        <w:t xml:space="preserve">values instantly flipped the exponent from exponential decay to explosive exponential growth, generating mathematical singularities that shattered Hamiltonian Monte Carlo (HMC) convergence. Therefore, the Mitscherlich formulation was explicitly abandoned in favor of the Michaelis-Menten fractional geometry. The rational hyperbolic shape provides the exact same diminishing returns (a monotonically decreasing first derivative) but safely sequesters exponential covariates in the denominator, rigidly bounding the probability space and guaranteeing HMC convergence.</w:t>
      </w:r>
    </w:p>
    <w:p>
      <w:pPr>
        <w:pStyle w:val="BodyText"/>
      </w:pPr>
      <w:r>
        <w:t xml:space="preserve">To aid clarity across the manuscript, the core model architectures are explicitly labeled. Alongside the mechanistic formulations, a heavily parameterized</w:t>
      </w:r>
      <w:r>
        <w:t xml:space="preserve"> </w:t>
      </w:r>
      <w:r>
        <w:rPr>
          <w:b/>
          <w:bCs/>
        </w:rPr>
        <w:t xml:space="preserve">Heuristic Model</w:t>
      </w:r>
      <w:r>
        <w:t xml:space="preserve"> </w:t>
      </w:r>
      <w:r>
        <w:t xml:space="preserve">was constructed as an empirical baseline. This heuristic model armed the Michaelis-Menten equations with a full suite of standard soil chemical metrics (pH, Clay fraction, Organic Carbon, and Exchangeable Calcium) alongside the pedoclimatic noise variables. This established a rigorous, highly-informed baseline against which the predictive power of the kinetic physics could be independently tested.</w:t>
      </w:r>
    </w:p>
    <w:p>
      <w:pPr>
        <w:pStyle w:val="BodyText"/>
      </w:pPr>
      <w:r>
        <w:rPr>
          <w:b/>
          <w:bCs/>
        </w:rPr>
        <w:t xml:space="preserve">1. The Yield Model (</w:t>
      </w:r>
      <m:oMath>
        <m:sSub>
          <m:e>
            <m:r>
              <m:t>B</m:t>
            </m:r>
          </m:e>
          <m:sub>
            <m:r>
              <m:t>Y</m:t>
            </m:r>
            <m:r>
              <m:t>i</m:t>
            </m:r>
            <m:r>
              <m:t>e</m:t>
            </m:r>
            <m:r>
              <m:t>l</m:t>
            </m:r>
            <m:r>
              <m:t>d</m:t>
            </m:r>
          </m:sub>
        </m:sSub>
      </m:oMath>
      <w:r>
        <w:rPr>
          <w:b/>
          <w:bCs/>
        </w:rPr>
        <w:t xml:space="preserve">)</w:t>
      </w:r>
      <w:r>
        <w:t xml:space="preserve"> </w:t>
      </w:r>
      <w:r>
        <w:t xml:space="preserve">The agronomic yield response was modeled using the Michaelis-Menten equation, bounding the unidentifiability of the intercept and asymptote by applying strict, crop-specific empirical limits (</w:t>
      </w:r>
      <m:oMath>
        <m:sSub>
          <m:e>
            <m:r>
              <m:t>Y</m:t>
            </m:r>
          </m:e>
          <m:sub>
            <m:r>
              <m:t>0</m:t>
            </m:r>
          </m:sub>
        </m:sSub>
      </m:oMath>
      <w:r>
        <w:t xml:space="preserve"> </w:t>
      </w:r>
      <w:r>
        <w:t xml:space="preserve">and</w:t>
      </w:r>
      <w:r>
        <w:t xml:space="preserve"> </w:t>
      </w:r>
      <m:oMath>
        <m:r>
          <m:t>A</m:t>
        </m:r>
      </m:oMath>
      <w:r>
        <w:t xml:space="preserve">) extracted from the bounds of the actual data. The effective half-saturation constant (</w:t>
      </w:r>
      <m:oMath>
        <m:sSub>
          <m:e>
            <m:r>
              <m:t>K</m:t>
            </m:r>
          </m:e>
          <m:sub>
            <m:r>
              <m:rPr>
                <m:nor/>
                <m:sty m:val="p"/>
              </m:rPr>
              <m:t>eff</m:t>
            </m:r>
          </m:sub>
        </m:sSub>
      </m:oMath>
      <w:r>
        <w:t xml:space="preserve">) was dynamically modulated by pedoclimatic covariates:</w:t>
      </w:r>
    </w:p>
    <w:p>
      <w:pPr>
        <w:pStyle w:val="BodyText"/>
      </w:pPr>
      <m:oMathPara>
        <m:oMathParaPr>
          <m:jc m:val="center"/>
        </m:oMathParaPr>
        <m:oMath>
          <m:r>
            <m:t>Y</m:t>
          </m:r>
          <m:r>
            <m:t>i</m:t>
          </m:r>
          <m:r>
            <m:t>e</m:t>
          </m:r>
          <m:r>
            <m:t>l</m:t>
          </m:r>
          <m:r>
            <m:t>d</m:t>
          </m:r>
          <m:r>
            <m:rPr>
              <m:sty m:val="p"/>
            </m:rPr>
            <m:t>=</m:t>
          </m:r>
          <m:sSub>
            <m:e>
              <m:r>
                <m:t>Y</m:t>
              </m:r>
            </m:e>
            <m:sub>
              <m:r>
                <m:t>0</m:t>
              </m:r>
            </m:sub>
          </m:sSub>
          <m:r>
            <m:rPr>
              <m:sty m:val="p"/>
            </m:rPr>
            <m:t>+</m:t>
          </m:r>
          <m:r>
            <m:rPr>
              <m:sty m:val="p"/>
            </m:rPr>
            <m:t>(</m:t>
          </m:r>
          <m:r>
            <m:t>A</m:t>
          </m:r>
          <m:r>
            <m:rPr>
              <m:sty m:val="p"/>
            </m:rPr>
            <m:t>−</m:t>
          </m:r>
          <m:sSub>
            <m:e>
              <m:r>
                <m:t>Y</m:t>
              </m:r>
            </m:e>
            <m:sub>
              <m:r>
                <m:t>0</m:t>
              </m:r>
            </m:sub>
          </m:sSub>
          <m:r>
            <m:rPr>
              <m:sty m:val="p"/>
            </m:rPr>
            <m:t>)</m:t>
          </m:r>
          <m:f>
            <m:fPr>
              <m:type m:val="bar"/>
            </m:fPr>
            <m:num>
              <m:r>
                <m:t>S</m:t>
              </m:r>
              <m:r>
                <m:t>T</m:t>
              </m:r>
              <m:r>
                <m:t>P</m:t>
              </m:r>
            </m:num>
            <m:den>
              <m:sSub>
                <m:e>
                  <m:r>
                    <m:t>K</m:t>
                  </m:r>
                </m:e>
                <m:sub>
                  <m:r>
                    <m:rPr>
                      <m:nor/>
                      <m:sty m:val="p"/>
                    </m:rPr>
                    <m:t>base</m:t>
                  </m:r>
                </m:sub>
              </m:sSub>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r>
                <m:rPr>
                  <m:sty m:val="p"/>
                </m:rPr>
                <m:t>+</m:t>
              </m:r>
              <m:r>
                <m:t>S</m:t>
              </m:r>
              <m:r>
                <m:t>T</m:t>
              </m:r>
              <m:r>
                <m:t>P</m:t>
              </m:r>
            </m:den>
          </m:f>
        </m:oMath>
      </m:oMathPara>
    </w:p>
    <w:p>
      <w:pPr>
        <w:pStyle w:val="Compact"/>
        <w:numPr>
          <w:ilvl w:val="0"/>
          <w:numId w:val="1005"/>
        </w:numPr>
      </w:pPr>
      <w:r>
        <w:rPr>
          <w:b/>
          <w:bCs/>
        </w:rPr>
        <w:t xml:space="preserve">The Diffusion Bottleneck (</w:t>
      </w:r>
      <m:oMath>
        <m:sSub>
          <m:e>
            <m:r>
              <m:t>β</m:t>
            </m:r>
          </m:e>
          <m:sub>
            <m:r>
              <m:rPr>
                <m:nor/>
                <m:sty m:val="p"/>
              </m:rPr>
              <m:t>invb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w:t>
      </w:r>
    </w:p>
    <w:p>
      <w:pPr>
        <w:pStyle w:val="Compact"/>
        <w:numPr>
          <w:ilvl w:val="0"/>
          <w:numId w:val="1005"/>
        </w:numPr>
      </w:pPr>
      <w:r>
        <w:rPr>
          <w:b/>
          <w:bCs/>
        </w:rPr>
        <w:t xml:space="preserve">The Kinetics (</w:t>
      </w:r>
      <m:oMath>
        <m:sSub>
          <m:e>
            <m:r>
              <m:t>β</m:t>
            </m:r>
          </m:e>
          <m:sub>
            <m:r>
              <m:t>k</m:t>
            </m:r>
          </m:sub>
        </m:sSub>
      </m:oMath>
      <w:r>
        <w:rPr>
          <w:b/>
          <w:bCs/>
        </w:rPr>
        <w:t xml:space="preserve">):</w:t>
      </w:r>
      <w:r>
        <w:t xml:space="preserve"> </w:t>
      </w:r>
      <w:r>
        <w:t xml:space="preserve">The dynamic desorption rate (</w:t>
      </w:r>
      <m:oMath>
        <m:r>
          <m:t>k</m:t>
        </m:r>
      </m:oMath>
      <w:r>
        <w:t xml:space="preserve">) directly decreases the half-saturation threshold by accelerating the physical resupply of P into the root depletion zone.</w:t>
      </w:r>
    </w:p>
    <w:p>
      <w:pPr>
        <w:pStyle w:val="Compact"/>
        <w:numPr>
          <w:ilvl w:val="0"/>
          <w:numId w:val="1005"/>
        </w:numPr>
      </w:pPr>
      <w:r>
        <w:rPr>
          <w:b/>
          <w:bCs/>
        </w:rPr>
        <w:t xml:space="preserve">Stoichiometric Co-Limitation (</w:t>
      </w:r>
      <m:oMath>
        <m:sSub>
          <m:e>
            <m:r>
              <m:t>β</m:t>
            </m:r>
          </m:e>
          <m:sub>
            <m:r>
              <m:t>N</m:t>
            </m:r>
          </m:sub>
        </m:sSub>
      </m:oMath>
      <w:r>
        <w:rPr>
          <w:b/>
          <w:bCs/>
        </w:rPr>
        <w:t xml:space="preserve">):</w:t>
      </w:r>
      <w:r>
        <w:t xml:space="preserve"> </w:t>
      </w:r>
      <w:r>
        <w:t xml:space="preserve">Nitrogen fertilization fundamentally shifts the metabolic capacity of the crop.</w:t>
      </w:r>
    </w:p>
    <w:p>
      <w:pPr>
        <w:pStyle w:val="Compact"/>
        <w:numPr>
          <w:ilvl w:val="0"/>
          <w:numId w:val="1005"/>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w:t>
      </w:r>
      <m:oMath>
        <m:sSub>
          <m:e>
            <m:r>
              <m:t>B</m:t>
            </m:r>
          </m:e>
          <m:sub>
            <m:r>
              <m:t>U</m:t>
            </m:r>
            <m:r>
              <m:t>p</m:t>
            </m:r>
            <m:r>
              <m:t>t</m:t>
            </m:r>
            <m:r>
              <m:t>a</m:t>
            </m:r>
            <m:r>
              <m:t>k</m:t>
            </m:r>
            <m:r>
              <m:t>e</m:t>
            </m:r>
          </m:sub>
        </m:sSub>
      </m:oMath>
      <w:r>
        <w:rPr>
          <w:b/>
          <w:bCs/>
        </w:rPr>
        <w:t xml:space="preserve">)</w:t>
      </w:r>
      <w:r>
        <w:t xml:space="preserve"> </w:t>
      </w:r>
      <w:r>
        <w:t xml:space="preserve">Actual mass-flux of P into the plant was modeled using the same Michaelis-Menten biological limit, anchored at the origin (</w:t>
      </w:r>
      <m:oMath>
        <m:sSub>
          <m:e>
            <m:r>
              <m:t>U</m:t>
            </m:r>
          </m:e>
          <m:sub>
            <m:r>
              <m:t>0</m:t>
            </m:r>
          </m:sub>
        </m:sSub>
        <m:r>
          <m:rPr>
            <m:sty m:val="p"/>
          </m:rPr>
          <m:t>=</m:t>
        </m:r>
        <m:r>
          <m:t>0</m:t>
        </m:r>
      </m:oMath>
      <w:r>
        <w:t xml:space="preserve">):</w:t>
      </w:r>
    </w:p>
    <w:p>
      <w:pPr>
        <w:pStyle w:val="BodyText"/>
      </w:pPr>
      <m:oMathPara>
        <m:oMathParaPr>
          <m:jc m:val="center"/>
        </m:oMathParaPr>
        <m:oMath>
          <m:r>
            <m:t>U</m:t>
          </m:r>
          <m:r>
            <m:t>p</m:t>
          </m:r>
          <m:r>
            <m:t>t</m:t>
          </m:r>
          <m:r>
            <m:t>a</m:t>
          </m:r>
          <m:r>
            <m:t>k</m:t>
          </m:r>
          <m:r>
            <m:t>e</m:t>
          </m:r>
          <m:r>
            <m:rPr>
              <m:sty m:val="p"/>
            </m:rPr>
            <m:t>=</m:t>
          </m:r>
          <m:f>
            <m:fPr>
              <m:type m:val="bar"/>
            </m:fPr>
            <m:num>
              <m:sSub>
                <m:e>
                  <m:r>
                    <m:t>V</m:t>
                  </m:r>
                </m:e>
                <m:sub>
                  <m:r>
                    <m:t>m</m:t>
                  </m:r>
                  <m:r>
                    <m:t>a</m:t>
                  </m:r>
                  <m:r>
                    <m:t>x</m:t>
                  </m:r>
                </m:sub>
              </m:sSub>
              <m:r>
                <m:rPr>
                  <m:sty m:val="p"/>
                </m:rPr>
                <m:t>⋅</m:t>
              </m:r>
              <m:r>
                <m:rPr>
                  <m:nor/>
                  <m:sty m:val="p"/>
                </m:rPr>
                <m:t>STP</m:t>
              </m:r>
            </m:num>
            <m:den>
              <m:sSub>
                <m:e>
                  <m:r>
                    <m:t>K</m:t>
                  </m:r>
                </m:e>
                <m:sub>
                  <m:r>
                    <m:rPr>
                      <m:nor/>
                      <m:sty m:val="p"/>
                    </m:rPr>
                    <m:t>base</m:t>
                  </m:r>
                </m:sub>
              </m:sSub>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r>
                <m:rPr>
                  <m:sty m:val="p"/>
                </m:rPr>
                <m:t>+</m:t>
              </m:r>
              <m:r>
                <m:rPr>
                  <m:nor/>
                  <m:sty m:val="p"/>
                </m:rPr>
                <m:t>STP</m:t>
              </m:r>
            </m:den>
          </m:f>
        </m:oMath>
      </m:oMathPara>
    </w:p>
    <w:p>
      <w:pPr>
        <w:pStyle w:val="FirstParagraph"/>
      </w:pPr>
      <w:r>
        <w:t xml:space="preserve">Where the maximum uptake capacity (</w:t>
      </w:r>
      <m:oMath>
        <m:sSub>
          <m:e>
            <m:r>
              <m:t>V</m:t>
            </m:r>
          </m:e>
          <m:sub>
            <m:r>
              <m:t>m</m:t>
            </m:r>
            <m:r>
              <m:t>a</m:t>
            </m:r>
            <m:r>
              <m:t>x</m:t>
            </m:r>
          </m:sub>
        </m:sSub>
      </m:oMath>
      <w:r>
        <w:t xml:space="preserve">) acts as the biological asymptote, and the effective affinity is driven by the same critical covariates (</w:t>
      </w:r>
      <m:oMath>
        <m:sSub>
          <m:e>
            <m:r>
              <m:t>β</m:t>
            </m:r>
          </m:e>
          <m:sub>
            <m:r>
              <m:rPr>
                <m:nor/>
                <m:sty m:val="p"/>
              </m:rPr>
              <m:t>invb</m:t>
            </m:r>
          </m:sub>
        </m:sSub>
        <m:r>
          <m:rPr>
            <m:sty m:val="p"/>
          </m:rPr>
          <m:t>,</m:t>
        </m:r>
        <m:sSub>
          <m:e>
            <m:r>
              <m:t>β</m:t>
            </m:r>
          </m:e>
          <m:sub>
            <m:r>
              <m:t>k</m:t>
            </m:r>
          </m:sub>
        </m:sSub>
        <m:r>
          <m:rPr>
            <m:sty m:val="p"/>
          </m:rPr>
          <m:t>,</m:t>
        </m:r>
        <m:sSub>
          <m:e>
            <m:r>
              <m:t>β</m:t>
            </m:r>
          </m:e>
          <m:sub>
            <m:r>
              <m:rPr>
                <m:nor/>
                <m:sty m:val="p"/>
              </m:rPr>
              <m:t>Temp</m:t>
            </m:r>
          </m:sub>
        </m:sSub>
        <m:r>
          <m:rPr>
            <m:sty m:val="p"/>
          </m:rPr>
          <m:t>,</m:t>
        </m:r>
        <m:sSub>
          <m:e>
            <m:r>
              <m:t>β</m:t>
            </m:r>
          </m:e>
          <m:sub>
            <m:r>
              <m:rPr>
                <m:nor/>
                <m:sty m:val="p"/>
              </m:rPr>
              <m:t>Prec</m:t>
            </m:r>
          </m:sub>
        </m:sSub>
      </m:oMath>
      <w:r>
        <w:t xml:space="preserve">).</w:t>
      </w:r>
    </w:p>
    <w:p>
      <w:pPr>
        <w:pStyle w:val="BodyText"/>
      </w:pPr>
      <w:r>
        <w:rPr>
          <w:b/>
          <w:bCs/>
        </w:rPr>
        <w:t xml:space="preserve">3. The Tissue Concentration Model (</w:t>
      </w:r>
      <m:oMath>
        <m:sSub>
          <m:e>
            <m:r>
              <m:t>B</m:t>
            </m:r>
          </m:e>
          <m:sub>
            <m:sSub>
              <m:e>
                <m:r>
                  <m:t>C</m:t>
                </m:r>
              </m:e>
              <m:sub>
                <m:r>
                  <m:t>P</m:t>
                </m:r>
              </m:sub>
            </m:sSub>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empirically using a</w:t>
      </w:r>
      <w:r>
        <w:t xml:space="preserve"> </w:t>
      </w:r>
      <w:r>
        <w:rPr>
          <w:b/>
          <w:bCs/>
        </w:rPr>
        <w:t xml:space="preserve">Mitscherlich</w:t>
      </w:r>
      <w:r>
        <w:t xml:space="preserve"> </w:t>
      </w:r>
      <w:r>
        <w:t xml:space="preserve">saturation curve. Because true Piper-Steenbjerg carbon dilution penalties (a drop in concentration at initial growth stages) were statistically undetectable across the pedoclimatic noise, the phenomena clearly dictate a simpler biological reality: A crop-specific baseline tissue concentration (</w:t>
      </w:r>
      <m:oMath>
        <m:sSub>
          <m:e>
            <m:r>
              <m:t>C</m:t>
            </m:r>
          </m:e>
          <m:sub>
            <m:r>
              <m:rPr>
                <m:nor/>
                <m:sty m:val="p"/>
              </m:rPr>
              <m:t>min</m:t>
            </m:r>
          </m:sub>
        </m:sSub>
      </m:oMath>
      <w:r>
        <w:t xml:space="preserve">), followed by an asymptotic</w:t>
      </w:r>
      <w:r>
        <w:t xml:space="preserve"> </w:t>
      </w:r>
      <w:r>
        <w:rPr>
          <w:b/>
          <w:bCs/>
        </w:rPr>
        <w:t xml:space="preserve">Luxury Accumulation</w:t>
      </w:r>
      <w:r>
        <w:t xml:space="preserve"> </w:t>
      </w:r>
      <w:r>
        <w:t xml:space="preserve">phase bounded by</w:t>
      </w:r>
      <w:r>
        <w:t xml:space="preserve"> </w:t>
      </w:r>
      <m:oMath>
        <m:r>
          <m:rPr>
            <m:sty m:val="p"/>
          </m:rPr>
          <m:t>Δ</m:t>
        </m:r>
        <m:r>
          <m:t>C</m:t>
        </m:r>
      </m:oMath>
      <w:r>
        <w:t xml:space="preserve">:</w:t>
      </w:r>
    </w:p>
    <w:p>
      <w:pPr>
        <w:pStyle w:val="BodyText"/>
      </w:pPr>
      <m:oMathPara>
        <m:oMathParaPr>
          <m:jc m:val="center"/>
        </m:oMathParaPr>
        <m:oMath>
          <m:sSub>
            <m:e>
              <m:r>
                <m:t>C</m:t>
              </m:r>
            </m:e>
            <m:sub>
              <m:r>
                <m:t>P</m:t>
              </m:r>
            </m:sub>
          </m:sSub>
          <m:r>
            <m:rPr>
              <m:sty m:val="p"/>
            </m:rPr>
            <m:t>=</m:t>
          </m:r>
          <m:sSub>
            <m:e>
              <m:r>
                <m:t>C</m:t>
              </m:r>
            </m:e>
            <m:sub>
              <m:r>
                <m:rPr>
                  <m:nor/>
                  <m:sty m:val="p"/>
                </m:rPr>
                <m:t>min</m:t>
              </m:r>
            </m:sub>
          </m:sSub>
          <m:r>
            <m:rPr>
              <m:sty m:val="p"/>
            </m:rPr>
            <m:t>+</m:t>
          </m:r>
          <m:r>
            <m:rPr>
              <m:sty m:val="p"/>
            </m:rPr>
            <m:t>Δ</m:t>
          </m:r>
          <m:r>
            <m:t>C</m:t>
          </m:r>
          <m:r>
            <m:rPr>
              <m:sty m:val="p"/>
            </m:rPr>
            <m:t>⋅</m:t>
          </m:r>
          <m:d>
            <m:dPr>
              <m:begChr m:val="("/>
              <m:sepChr m:val=""/>
              <m:endChr m:val=")"/>
              <m:grow/>
            </m:dPr>
            <m:e>
              <m:r>
                <m:t>1</m:t>
              </m:r>
              <m:r>
                <m:rPr>
                  <m:sty m:val="p"/>
                </m:rPr>
                <m:t>−</m:t>
              </m:r>
              <m:r>
                <m:rPr>
                  <m:sty m:val="p"/>
                </m:rPr>
                <m:t>exp</m:t>
              </m:r>
              <m:d>
                <m:dPr>
                  <m:begChr m:val="("/>
                  <m:sepChr m:val=""/>
                  <m:endChr m:val=")"/>
                  <m:grow/>
                </m:dPr>
                <m:e>
                  <m:r>
                    <m:rPr>
                      <m:sty m:val="p"/>
                    </m:rPr>
                    <m:t>−</m:t>
                  </m:r>
                  <m:sSub>
                    <m:e>
                      <m:r>
                        <m:t>c</m:t>
                      </m:r>
                    </m:e>
                    <m:sub>
                      <m:r>
                        <m:rPr>
                          <m:nor/>
                          <m:sty m:val="p"/>
                        </m:rPr>
                        <m:t>eff</m:t>
                      </m:r>
                    </m:sub>
                  </m:sSub>
                  <m:r>
                    <m:rPr>
                      <m:sty m:val="p"/>
                    </m:rPr>
                    <m:t>⋅</m:t>
                  </m:r>
                  <m:r>
                    <m:rPr>
                      <m:nor/>
                      <m:sty m:val="p"/>
                    </m:rPr>
                    <m:t>STP</m:t>
                  </m:r>
                </m:e>
              </m:d>
            </m:e>
          </m:d>
        </m:oMath>
      </m:oMathPara>
    </w:p>
    <w:p>
      <w:pPr>
        <w:pStyle w:val="Compact"/>
        <w:numPr>
          <w:ilvl w:val="0"/>
          <w:numId w:val="1006"/>
        </w:numPr>
      </w:pPr>
      <w:r>
        <w:rPr>
          <w:b/>
          <w:bCs/>
        </w:rPr>
        <w:t xml:space="preserve">Crop-Specific Baseline (</w:t>
      </w:r>
      <m:oMath>
        <m:sSub>
          <m:e>
            <m:r>
              <m:t>C</m:t>
            </m:r>
          </m:e>
          <m:sub>
            <m:r>
              <m:rPr>
                <m:nor/>
                <m:sty m:val="p"/>
              </m:rPr>
              <m:t>min</m:t>
            </m:r>
          </m:sub>
        </m:sSub>
      </m:oMath>
      <w:r>
        <w:rPr>
          <w:b/>
          <w:bCs/>
        </w:rPr>
        <w:t xml:space="preserve">):</w:t>
      </w:r>
      <w:r>
        <w:t xml:space="preserve"> </w:t>
      </w:r>
      <w:r>
        <w:t xml:space="preserve">The fundamental, minimum tissue concentration required for the plant to physically exist, modeled as a fixed effect grouped by crop species (</w:t>
      </w:r>
      <w:r>
        <w:rPr>
          <w:rStyle w:val="VerbatimChar"/>
        </w:rPr>
        <w:t xml:space="preserve">~ crop - 1 + (1 | site/year)</w:t>
      </w:r>
      <w:r>
        <w:t xml:space="preserve">).</w:t>
      </w:r>
    </w:p>
    <w:p>
      <w:pPr>
        <w:pStyle w:val="Compact"/>
        <w:numPr>
          <w:ilvl w:val="0"/>
          <w:numId w:val="1006"/>
        </w:numPr>
      </w:pPr>
      <w:r>
        <w:rPr>
          <w:b/>
          <w:bCs/>
        </w:rPr>
        <w:t xml:space="preserve">Luxury Accumulation (</w:t>
      </w:r>
      <m:oMath>
        <m:r>
          <m:rPr>
            <m:sty m:val="p"/>
          </m:rPr>
          <m:t>Δ</m:t>
        </m:r>
        <m:r>
          <m:t>C</m:t>
        </m:r>
      </m:oMath>
      <w:r>
        <w:rPr>
          <w:b/>
          <w:bCs/>
        </w:rPr>
        <w:t xml:space="preserve">):</w:t>
      </w:r>
      <w:r>
        <w:t xml:space="preserve"> </w:t>
      </w:r>
      <w:r>
        <w:t xml:space="preserve">Once basic metabolic needs are met, plants accumulate</w:t>
      </w:r>
      <w:r>
        <w:t xml:space="preserve"> </w:t>
      </w:r>
      <w:r>
        <w:t xml:space="preserve">“luxury”</w:t>
      </w:r>
      <w:r>
        <w:t xml:space="preserve"> </w:t>
      </w:r>
      <w:r>
        <w:t xml:space="preserve">P in their tissues up to a theoretical maximum.</w:t>
      </w:r>
    </w:p>
    <w:p>
      <w:pPr>
        <w:pStyle w:val="Compact"/>
        <w:numPr>
          <w:ilvl w:val="0"/>
          <w:numId w:val="1006"/>
        </w:numPr>
      </w:pPr>
      <w:r>
        <w:rPr>
          <w:b/>
          <w:bCs/>
        </w:rPr>
        <w:t xml:space="preserve">Accumulation Rate (</w:t>
      </w:r>
      <m:oMath>
        <m:sSub>
          <m:e>
            <m:r>
              <m:t>c</m:t>
            </m:r>
          </m:e>
          <m:sub>
            <m:r>
              <m:rPr>
                <m:nor/>
                <m:sty m:val="p"/>
              </m:rPr>
              <m:t>eff</m:t>
            </m:r>
          </m:sub>
        </m:sSub>
      </m:oMath>
      <w:r>
        <w:rPr>
          <w:b/>
          <w:bCs/>
        </w:rPr>
        <w:t xml:space="preserve">):</w:t>
      </w:r>
      <w:r>
        <w:t xml:space="preserve"> </w:t>
      </w:r>
      <w:r>
        <w:t xml:space="preserve">This rate is significantly driven by pedoclimatic covariates and transport penalties, dictating how rapidly the soil can push excess phosphorus into the plant.</w:t>
      </w:r>
    </w:p>
    <w:p>
      <w:pPr>
        <w:pStyle w:val="FirstParagraph"/>
      </w:pPr>
      <w:r>
        <w:rPr>
          <w:b/>
          <w:bCs/>
        </w:rPr>
        <w:t xml:space="preserve">Bayesian Prior Elicitation and Biological Bounds</w:t>
      </w:r>
      <w:r>
        <w:t xml:space="preserve"> </w:t>
      </w:r>
      <w:r>
        <w:t xml:space="preserve">To prevent mathematical singularities and ensure the parameter space remained strictly within physical reality, informative bounds were placed on the fundamental biological constants:</w:t>
      </w:r>
      <w:r>
        <w:t xml:space="preserve"> </w:t>
      </w:r>
      <w:r>
        <w:t xml:space="preserve">-</w:t>
      </w:r>
      <w:r>
        <w:t xml:space="preserve"> </w:t>
      </w:r>
      <w:r>
        <w:rPr>
          <w:b/>
          <w:bCs/>
        </w:rPr>
        <w:t xml:space="preserve">Baseline and Maximum Yield (</w:t>
      </w:r>
      <m:oMath>
        <m:sSub>
          <m:e>
            <m:r>
              <m:t>Y</m:t>
            </m:r>
          </m:e>
          <m:sub>
            <m:r>
              <m:t>0</m:t>
            </m:r>
          </m:sub>
        </m:sSub>
        <m:r>
          <m:rPr>
            <m:sty m:val="p"/>
          </m:rPr>
          <m:t>,</m:t>
        </m:r>
        <m:r>
          <m:t>A</m:t>
        </m:r>
      </m:oMath>
      <w:r>
        <w:rPr>
          <w:b/>
          <w:bCs/>
        </w:rPr>
        <w:t xml:space="preserve">):</w:t>
      </w:r>
      <w:r>
        <w:t xml:space="preserve"> </w:t>
      </w:r>
      <w:r>
        <w:t xml:space="preserve">Bounded strictly</w:t>
      </w:r>
      <w:r>
        <w:t xml:space="preserve"> </w:t>
      </w:r>
      <m:oMath>
        <m:r>
          <m:rPr>
            <m:sty m:val="p"/>
          </m:rPr>
          <m:t>&gt;</m:t>
        </m:r>
        <m:r>
          <m:t>0</m:t>
        </m:r>
      </m:oMath>
      <w:r>
        <w:t xml:space="preserve">. To resolve parameter unidentifiability in the flat plateaus of the data, highly informative empirical bounds were dynamically extracted from the dataset. For each crop,</w:t>
      </w:r>
      <w:r>
        <w:t xml:space="preserve"> </w:t>
      </w:r>
      <m:oMath>
        <m:sSub>
          <m:e>
            <m:r>
              <m:t>Y</m:t>
            </m:r>
          </m:e>
          <m:sub>
            <m:r>
              <m:t>0</m:t>
            </m:r>
          </m:sub>
        </m:sSub>
      </m:oMath>
      <w:r>
        <w:t xml:space="preserve"> </w:t>
      </w:r>
      <w:r>
        <w:t xml:space="preserve">was constrained around the absolute minimum observed yield, and</w:t>
      </w:r>
      <w:r>
        <w:t xml:space="preserve"> </w:t>
      </w:r>
      <m:oMath>
        <m:r>
          <m:t>A</m:t>
        </m:r>
      </m:oMath>
      <w:r>
        <w:t xml:space="preserve"> </w:t>
      </w:r>
      <w:r>
        <w:t xml:space="preserve">around the absolute maximum, rigidly anchoring the vertical geometry of the curve.</w:t>
      </w:r>
      <w:r>
        <w:t xml:space="preserve"> </w:t>
      </w:r>
      <w:r>
        <w:t xml:space="preserve">-</w:t>
      </w:r>
      <w:r>
        <w:t xml:space="preserve"> </w:t>
      </w:r>
      <w:r>
        <w:rPr>
          <w:b/>
          <w:bCs/>
        </w:rPr>
        <w:t xml:space="preserve">Maximum Uptake Velocity (</w:t>
      </w:r>
      <m:oMath>
        <m:sSub>
          <m:e>
            <m:r>
              <m:t>V</m:t>
            </m:r>
          </m:e>
          <m:sub>
            <m:r>
              <m:rPr>
                <m:nor/>
                <m:sty m:val="p"/>
              </m:rPr>
              <m:t>max</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normal(30, 15)</w:t>
      </w:r>
      <w:r>
        <w:t xml:space="preserve">, reflecting standard crop physiological limits (typically 15–45 kg P/ha).</w:t>
      </w:r>
      <w:r>
        <w:t xml:space="preserve"> </w:t>
      </w:r>
      <w:r>
        <w:t xml:space="preserve">-</w:t>
      </w:r>
      <w:r>
        <w:t xml:space="preserve"> </w:t>
      </w:r>
      <w:r>
        <w:rPr>
          <w:b/>
          <w:bCs/>
        </w:rPr>
        <w:t xml:space="preserve">Tissue Concentration Minimum (</w:t>
      </w:r>
      <m:oMath>
        <m:sSub>
          <m:e>
            <m:r>
              <m:t>C</m:t>
            </m:r>
          </m:e>
          <m:sub>
            <m:r>
              <m:rPr>
                <m:nor/>
                <m:sty m:val="p"/>
              </m:rPr>
              <m:t>min</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normal(1.5, 1.0)</w:t>
      </w:r>
      <w:r>
        <w:t xml:space="preserve">, as a baseline tissue concentration of</w:t>
      </w:r>
      <w:r>
        <w:t xml:space="preserve"> </w:t>
      </w:r>
      <m:oMath>
        <m:r>
          <m:rPr>
            <m:sty m:val="p"/>
          </m:rPr>
          <m:t>≈</m:t>
        </m:r>
        <m:r>
          <m:t>1.5</m:t>
        </m:r>
        <m:r>
          <m:rPr>
            <m:nor/>
            <m:sty m:val="p"/>
          </m:rPr>
          <m:t> g/kg DM</m:t>
        </m:r>
      </m:oMath>
      <w:r>
        <w:t xml:space="preserve"> </w:t>
      </w:r>
      <w:r>
        <w:t xml:space="preserve">is universally required for basic cellular function in these crops.</w:t>
      </w:r>
      <w:r>
        <w:t xml:space="preserve"> </w:t>
      </w:r>
      <w:r>
        <w:t xml:space="preserve">-</w:t>
      </w:r>
      <w:r>
        <w:t xml:space="preserve"> </w:t>
      </w:r>
      <w:r>
        <w:rPr>
          <w:b/>
          <w:bCs/>
        </w:rPr>
        <w:t xml:space="preserve">Environmental Covariates (</w:t>
      </w:r>
      <m:oMath>
        <m:r>
          <m:t>β</m:t>
        </m:r>
      </m:oMath>
      <w:r>
        <w:rPr>
          <w:b/>
          <w:bCs/>
        </w:rPr>
        <w:t xml:space="preserve">):</w:t>
      </w:r>
      <w:r>
        <w:t xml:space="preserve"> </w:t>
      </w:r>
      <w:r>
        <w:t xml:space="preserve">Even with strict structural bounds, the simultaneous estimation of five exponential environmental covariates on the kinetic rate constant created a flat probability valley, preventing HMC convergence. To resolve this unidentifiability, an</w:t>
      </w:r>
      <w:r>
        <w:t xml:space="preserve"> </w:t>
      </w:r>
      <w:r>
        <w:rPr>
          <w:b/>
          <w:bCs/>
        </w:rPr>
        <w:t xml:space="preserve">Empirical Bayes</w:t>
      </w:r>
      <w:r>
        <w:t xml:space="preserve"> </w:t>
      </w:r>
      <w:r>
        <w:t xml:space="preserve">algebraic linearization technique was deployed. The Michaelis-Menten equation was algebraically rearranged into an affine linear model:</w:t>
      </w:r>
      <w:r>
        <w:t xml:space="preserve"> </w:t>
      </w:r>
      <m:oMath>
        <m:r>
          <m:t>Z</m:t>
        </m:r>
        <m:r>
          <m:rPr>
            <m:sty m:val="p"/>
          </m:rPr>
          <m:t>=</m:t>
        </m:r>
        <m:r>
          <m:rPr>
            <m:sty m:val="p"/>
          </m:rPr>
          <m:t>ln</m:t>
        </m:r>
        <m:r>
          <m:rPr>
            <m:sty m:val="p"/>
          </m:rPr>
          <m:t>(</m:t>
        </m:r>
        <m:r>
          <m:rPr>
            <m:sty m:val="p"/>
          </m:rPr>
          <m:t>(</m:t>
        </m:r>
        <m:r>
          <m:t>A</m:t>
        </m:r>
        <m:r>
          <m:rPr>
            <m:sty m:val="p"/>
          </m:rPr>
          <m:t>−</m:t>
        </m:r>
        <m:r>
          <m:t>Y</m:t>
        </m:r>
        <m:r>
          <m:rPr>
            <m:sty m:val="p"/>
          </m:rPr>
          <m:t>)</m:t>
        </m:r>
        <m:r>
          <m:rPr>
            <m:sty m:val="p"/>
          </m:rPr>
          <m:t>/</m:t>
        </m:r>
        <m:r>
          <m:rPr>
            <m:sty m:val="p"/>
          </m:rPr>
          <m:t>(</m:t>
        </m:r>
        <m:r>
          <m:t>Y</m:t>
        </m:r>
        <m:r>
          <m:rPr>
            <m:sty m:val="p"/>
          </m:rPr>
          <m:t>−</m:t>
        </m:r>
        <m:sSub>
          <m:e>
            <m:r>
              <m:t>Y</m:t>
            </m:r>
          </m:e>
          <m:sub>
            <m:r>
              <m:t>0</m:t>
            </m:r>
          </m:sub>
        </m:sSub>
        <m:r>
          <m:rPr>
            <m:sty m:val="p"/>
          </m:rPr>
          <m:t>)</m:t>
        </m:r>
        <m:r>
          <m:rPr>
            <m:sty m:val="p"/>
          </m:rPr>
          <m:t>)</m:t>
        </m:r>
        <m:r>
          <m:rPr>
            <m:sty m:val="p"/>
          </m:rPr>
          <m:t>+</m:t>
        </m:r>
        <m:r>
          <m:rPr>
            <m:sty m:val="p"/>
          </m:rPr>
          <m:t>ln</m:t>
        </m:r>
        <m:r>
          <m:rPr>
            <m:sty m:val="p"/>
          </m:rPr>
          <m:t>(</m:t>
        </m:r>
        <m:r>
          <m:rPr>
            <m:nor/>
            <m:sty m:val="p"/>
          </m:rPr>
          <m:t>STP</m:t>
        </m:r>
        <m:r>
          <m:rPr>
            <m:sty m:val="p"/>
          </m:rPr>
          <m:t>)</m:t>
        </m:r>
      </m:oMath>
      <w:r>
        <w:t xml:space="preserve">. By passing this linearized response into a frequentist linear mixed-effects model (</w:t>
      </w:r>
      <w:r>
        <w:rPr>
          <w:rStyle w:val="VerbatimChar"/>
        </w:rPr>
        <w:t xml:space="preserve">lmer</w:t>
      </w:r>
      <w:r>
        <w:t xml:space="preserve">), exact empirical point estimates for the</w:t>
      </w:r>
      <w:r>
        <w:t xml:space="preserve"> </w:t>
      </w:r>
      <m:oMath>
        <m:r>
          <m:t>β</m:t>
        </m:r>
      </m:oMath>
      <w:r>
        <w:t xml:space="preserve"> </w:t>
      </w:r>
      <w:r>
        <w:t xml:space="preserve">modifiers were calculated. These empirically derived coordinates were then injected into the Bayesian model as highly informative priors (e.g.,</w:t>
      </w:r>
      <w:r>
        <w:t xml:space="preserve"> </w:t>
      </w:r>
      <w:r>
        <w:rPr>
          <w:rStyle w:val="VerbatimChar"/>
        </w:rPr>
        <w:t xml:space="preserve">normal(0.776, 0.10)</w:t>
      </w:r>
      <w:r>
        <w:t xml:space="preserve"> </w:t>
      </w:r>
      <w:r>
        <w:t xml:space="preserve">for</w:t>
      </w:r>
      <w:r>
        <w:t xml:space="preserve"> </w:t>
      </w:r>
      <m:oMath>
        <m:sSub>
          <m:e>
            <m:r>
              <m:t>β</m:t>
            </m:r>
          </m:e>
          <m:sub>
            <m:r>
              <m:t>N</m:t>
            </m:r>
          </m:sub>
        </m:sSub>
      </m:oMath>
      <w:r>
        <w:t xml:space="preserve">), dropping the Markov chains directly onto the global minimum and guaranteeing robust HMC convergence.</w:t>
      </w:r>
    </w:p>
    <w:tbl>
      <w:tblPr>
        <w:tblStyle w:val="Table"/>
        <w:tblW w:type="pct" w:w="5000"/>
        <w:tblLayout w:type="fixed"/>
        <w:tblLook w:firstRow="0" w:lastRow="0" w:firstColumn="0" w:lastColumn="0" w:noHBand="0" w:noVBand="0" w:val="0000"/>
      </w:tblPr>
      <w:tblGrid>
        <w:gridCol w:w="7920"/>
      </w:tblGrid>
      <w:tr>
        <w:tc>
          <w:tcPr/>
          <w:bookmarkStart w:id="35"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1203"/>
              <w:gridCol w:w="935"/>
              <w:gridCol w:w="1971"/>
              <w:gridCol w:w="3809"/>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r>
                      <m:t>Y</m:t>
                    </m:r>
                  </m:oMath>
                  <w:r>
                    <w:t xml:space="preserve">​</w:t>
                  </w:r>
                </w:p>
              </w:tc>
              <w:tc>
                <w:tcPr/>
                <w:p>
                  <w:pPr>
                    <w:pStyle w:val="Compact"/>
                    <w:jc w:val="left"/>
                    <w:jc w:val="center"/>
                  </w:pPr>
                  <w:r>
                    <w:t xml:space="preserve">Absolute Yield</w:t>
                  </w:r>
                </w:p>
              </w:tc>
              <w:tc>
                <w:tcPr/>
                <w:p>
                  <w:pPr>
                    <w:pStyle w:val="Compact"/>
                    <w:jc w:val="left"/>
                    <w:jc w:val="center"/>
                  </w:pPr>
                  <w:r>
                    <w:t xml:space="preserve">Crop dry matter yield (dt/ha).</w:t>
                  </w:r>
                </w:p>
              </w:tc>
              <w:tc>
                <w:tcPr/>
                <w:p>
                  <w:pPr>
                    <w:pStyle w:val="Compact"/>
                    <w:jc w:val="left"/>
                    <w:jc w:val="center"/>
                  </w:pPr>
                  <w:r>
                    <w:t xml:space="preserve">Raw measured absolute yield. Handled via log-link function in the Bayesian models.</w:t>
                  </w:r>
                </w:p>
              </w:tc>
            </w:tr>
            <w:tr>
              <w:tc>
                <w:tcPr/>
                <w:p>
                  <w:pPr>
                    <w:pStyle w:val="Compact"/>
                    <w:jc w:val="left"/>
                    <w:jc w:val="center"/>
                  </w:pPr>
                  <m:oMath>
                    <m:sSub>
                      <m:e>
                        <m:r>
                          <m:t>P</m:t>
                        </m:r>
                      </m:e>
                      <m:sub>
                        <m:r>
                          <m:rPr>
                            <m:nor/>
                            <m:sty m:val="p"/>
                          </m:rPr>
                          <m:t>up</m:t>
                        </m:r>
                      </m:sub>
                    </m:sSub>
                  </m:oMath>
                  <w:r>
                    <w:t xml:space="preserve">​</w:t>
                  </w:r>
                </w:p>
              </w:tc>
              <w:tc>
                <w:tcPr/>
                <w:p>
                  <w:pPr>
                    <w:pStyle w:val="Compact"/>
                    <w:jc w:val="left"/>
                    <w:jc w:val="center"/>
                  </w:pPr>
                  <w:r>
                    <w:t xml:space="preserve">Absolute P Uptake</w:t>
                  </w:r>
                </w:p>
              </w:tc>
              <w:tc>
                <w:tcPr/>
                <w:p>
                  <w:pPr>
                    <w:pStyle w:val="Compact"/>
                    <w:jc w:val="left"/>
                    <w:jc w:val="center"/>
                  </w:pPr>
                  <w:r>
                    <w:t xml:space="preserve">Total phosphorus uptake in above-ground biomass (kg P/ha).</w:t>
                  </w:r>
                </w:p>
              </w:tc>
              <w:tc>
                <w:tcPr/>
                <w:p>
                  <w:pPr>
                    <w:pStyle w:val="Compact"/>
                    <w:jc w:val="left"/>
                    <w:jc w:val="center"/>
                  </w:pPr>
                  <w:r>
                    <w:t xml:space="preserve">Calculated as absolute yield multiplied by tissue P concentration (</w:t>
                  </w:r>
                  <m:oMath>
                    <m:sSub>
                      <m:e>
                        <m:r>
                          <m:t>C</m:t>
                        </m:r>
                      </m:e>
                      <m:sub>
                        <m:r>
                          <m:t>P</m:t>
                        </m:r>
                      </m:sub>
                    </m:sSub>
                  </m:oMath>
                  <w:r>
                    <w:t xml:space="preserve">). Handled via log-link function.</w:t>
                  </w:r>
                </w:p>
              </w:tc>
            </w:tr>
            <w:tr>
              <w:tc>
                <w:tcPr/>
                <w:p>
                  <w:pPr>
                    <w:pStyle w:val="Compact"/>
                    <w:jc w:val="left"/>
                    <w:jc w:val="center"/>
                  </w:pPr>
                  <m:oMath>
                    <m:r>
                      <m:rPr>
                        <m:sty m:val="p"/>
                      </m:rPr>
                      <m:t>ln</m:t>
                    </m:r>
                    <m:r>
                      <m:rPr>
                        <m:sty m:val="p"/>
                      </m:rPr>
                      <m:t>(</m:t>
                    </m:r>
                    <m:sSub>
                      <m:e>
                        <m:r>
                          <m:t>P</m:t>
                        </m:r>
                      </m:e>
                      <m:sub>
                        <m:r>
                          <m:rPr>
                            <m:nor/>
                            <m:sty m:val="p"/>
                          </m:rPr>
                          <m:t>AAE10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sSub>
                          <m:e>
                            <m:r>
                              <m:rPr>
                                <m:nor/>
                                <m:sty m:val="p"/>
                              </m:rPr>
                              <m:t>CO</m:t>
                            </m:r>
                          </m:e>
                          <m:sub>
                            <m:r>
                              <m:t>2</m:t>
                            </m:r>
                          </m:sub>
                        </m:sSub>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sSub>
                          <m:e>
                            <m:r>
                              <m:rPr>
                                <m:nor/>
                                <m:sty m:val="p"/>
                              </m:rPr>
                              <m:t>CO</m:t>
                            </m:r>
                          </m:e>
                          <m:sub>
                            <m:r>
                              <m:t>2</m:t>
                            </m:r>
                          </m:sub>
                        </m:sSub>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sSub>
                      <m:e>
                        <m:r>
                          <m:t>k</m:t>
                        </m:r>
                      </m:e>
                      <m:sub>
                        <m:r>
                          <m:rPr>
                            <m:nor/>
                            <m:sty m:val="p"/>
                          </m:rPr>
                          <m:t>des</m:t>
                        </m:r>
                      </m:sub>
                    </m:sSub>
                  </m:oMath>
                  <w:r>
                    <w:t xml:space="preserve">​</w:t>
                  </w:r>
                </w:p>
              </w:tc>
              <w:tc>
                <w:tcPr/>
                <w:p>
                  <w:pPr>
                    <w:pStyle w:val="Compact"/>
                    <w:jc w:val="left"/>
                    <w:jc w:val="center"/>
                  </w:pPr>
                  <w:r>
                    <w:t xml:space="preserve">Desorption Rate Constant</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rPr>
                            <m:nor/>
                            <m:sty m:val="p"/>
                          </m:rPr>
                          <m:t>des</m:t>
                        </m:r>
                      </m:sub>
                    </m:sSub>
                  </m:oMath>
                  <w:r>
                    <w:t xml:space="preserve">​</w:t>
                  </w:r>
                </w:p>
              </w:tc>
              <w:tc>
                <w:tcPr/>
                <w:p>
                  <w:pPr>
                    <w:pStyle w:val="Compact"/>
                    <w:jc w:val="left"/>
                    <w:jc w:val="center"/>
                  </w:pPr>
                  <w:r>
                    <w:t xml:space="preserve">Initial 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sSub>
                          <m:e>
                            <m:r>
                              <m:rPr>
                                <m:nor/>
                                <m:sty m:val="p"/>
                              </m:rPr>
                              <m:t>CO</m:t>
                            </m:r>
                          </m:e>
                          <m:sub>
                            <m:r>
                              <m:t>2</m:t>
                            </m:r>
                          </m:sub>
                        </m:sSub>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rPr>
                            <m:nor/>
                            <m:sty m:val="p"/>
                          </m:rPr>
                          <m:t>ox</m:t>
                        </m:r>
                      </m:sub>
                    </m:sSub>
                    <m:r>
                      <m:rPr>
                        <m:sty m:val="p"/>
                      </m:rPr>
                      <m:t>,</m:t>
                    </m:r>
                    <m:r>
                      <m:t>A</m:t>
                    </m:r>
                    <m:sSub>
                      <m:e>
                        <m:r>
                          <m:t>l</m:t>
                        </m:r>
                      </m:e>
                      <m:sub>
                        <m:r>
                          <m:rPr>
                            <m:nor/>
                            <m:sty m:val="p"/>
                          </m:rPr>
                          <m:t>ox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m:oMath>
                    <m:r>
                      <m:rPr>
                        <m:nor/>
                        <m:sty m:val="p"/>
                      </m:rPr>
                      <m:t>Clay</m:t>
                    </m:r>
                  </m:oMath>
                  <w:r>
                    <w:t xml:space="preserve">​</w:t>
                  </w:r>
                </w:p>
              </w:tc>
              <w:tc>
                <w:tcPr/>
                <w:p>
                  <w:pPr>
                    <w:pStyle w:val="Compact"/>
                    <w:jc w:val="left"/>
                    <w:jc w:val="center"/>
                  </w:pPr>
                  <w:r>
                    <w:t xml:space="preserve">Clay Content</w:t>
                  </w:r>
                </w:p>
              </w:tc>
              <w:tc>
                <w:tcPr/>
                <w:p>
                  <w:pPr>
                    <w:pStyle w:val="Compact"/>
                    <w:jc w:val="left"/>
                    <w:jc w:val="center"/>
                  </w:pPr>
                  <w:r>
                    <w:t xml:space="preserve">Clay mass fraction.</w:t>
                  </w:r>
                </w:p>
              </w:tc>
              <w:tc>
                <w:tcPr/>
                <w:p>
                  <w:pPr>
                    <w:pStyle w:val="Compact"/>
                    <w:jc w:val="left"/>
                    <w:jc w:val="center"/>
                  </w:pPr>
                  <w:r>
                    <w:t xml:space="preserve">Standardized directly. Missing values imputed with site-means.</w:t>
                  </w:r>
                </w:p>
              </w:tc>
            </w:tr>
            <w:tr>
              <w:tc>
                <w:tcPr/>
                <w:p>
                  <w:pPr>
                    <w:pStyle w:val="Compact"/>
                    <w:jc w:val="left"/>
                    <w:jc w:val="center"/>
                  </w:pPr>
                  <m:oMath>
                    <m:sSub>
                      <m:e>
                        <m:r>
                          <m:rPr>
                            <m:nor/>
                            <m:sty m:val="p"/>
                          </m:rPr>
                          <m:t>pH</m:t>
                        </m:r>
                      </m:e>
                      <m:sub>
                        <m:sSub>
                          <m:e>
                            <m:r>
                              <m:rPr>
                                <m:nor/>
                                <m:sty m:val="p"/>
                              </m:rPr>
                              <m:t>H</m:t>
                            </m:r>
                          </m:e>
                          <m:sub>
                            <m:r>
                              <m:t>2</m:t>
                            </m:r>
                          </m:sub>
                        </m:sSub>
                        <m:r>
                          <m:rPr>
                            <m:nor/>
                            <m:sty m:val="p"/>
                          </m:rPr>
                          <m:t>O</m:t>
                        </m:r>
                      </m:sub>
                    </m:sSub>
                  </m:oMath>
                  <w:r>
                    <w:t xml:space="preserve">​</w:t>
                  </w:r>
                </w:p>
              </w:tc>
              <w:tc>
                <w:tcPr/>
                <w:p>
                  <w:pPr>
                    <w:pStyle w:val="Compact"/>
                    <w:jc w:val="left"/>
                    <w:jc w:val="center"/>
                  </w:pPr>
                  <w:r>
                    <w:t xml:space="preserve">Soil pH</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rPr>
                            <m:nor/>
                            <m:sty m:val="p"/>
                          </m:rPr>
                          <m:t>org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m:oMath>
                    <m:r>
                      <m:t>C</m:t>
                    </m:r>
                    <m:sSub>
                      <m:e>
                        <m:r>
                          <m:t>a</m:t>
                        </m:r>
                      </m:e>
                      <m:sub>
                        <m:r>
                          <m:rPr>
                            <m:nor/>
                            <m:sty m:val="p"/>
                          </m:rPr>
                          <m:t>ex</m:t>
                        </m:r>
                      </m:sub>
                    </m:sSub>
                  </m:oMath>
                  <w:r>
                    <w:t xml:space="preserve">​</w:t>
                  </w:r>
                </w:p>
              </w:tc>
              <w:tc>
                <w:tcPr/>
                <w:p>
                  <w:pPr>
                    <w:pStyle w:val="Compact"/>
                    <w:jc w:val="left"/>
                    <w:jc w:val="center"/>
                  </w:pPr>
                  <w:r>
                    <w:t xml:space="preserve">Exchangeable Calcium</w:t>
                  </w:r>
                </w:p>
              </w:tc>
              <w:tc>
                <w:tcPr/>
                <w:p>
                  <w:pPr>
                    <w:pStyle w:val="Compact"/>
                    <w:jc w:val="left"/>
                    <w:jc w:val="center"/>
                  </w:pPr>
                  <w:r>
                    <w:t xml:space="preserve">AAE10-extractable background calcium.</w:t>
                  </w:r>
                </w:p>
              </w:tc>
              <w:tc>
                <w:tcPr/>
                <w:p>
                  <w:pPr>
                    <w:pStyle w:val="Compact"/>
                    <w:jc w:val="left"/>
                    <w:jc w:val="center"/>
                  </w:pPr>
                  <w:r>
                    <w:t xml:space="preserve">Missing values imputed using site medians. Log-transformed and standardized.</w:t>
                  </w:r>
                </w:p>
              </w:tc>
            </w:tr>
            <w:tr>
              <w:tc>
                <w:tcPr/>
                <w:p>
                  <w:pPr>
                    <w:pStyle w:val="Compact"/>
                    <w:jc w:val="left"/>
                    <w:jc w:val="center"/>
                  </w:pPr>
                  <m:oMath>
                    <m:sSub>
                      <m:e>
                        <m:r>
                          <m:t>T</m:t>
                        </m:r>
                      </m:e>
                      <m:sub>
                        <m:r>
                          <m:rPr>
                            <m:nor/>
                            <m:sty m:val="p"/>
                          </m:rPr>
                          <m:t>anom</m:t>
                        </m:r>
                      </m:sub>
                    </m:sSub>
                    <m:r>
                      <m:rPr>
                        <m:sty m:val="p"/>
                      </m:rPr>
                      <m:t>,</m:t>
                    </m:r>
                    <m:r>
                      <m:t>P</m:t>
                    </m:r>
                    <m:sSub>
                      <m:e>
                        <m:r>
                          <m:t>r</m:t>
                        </m:r>
                      </m:e>
                      <m:sub>
                        <m:r>
                          <m:rPr>
                            <m:nor/>
                            <m:sty m:val="p"/>
                          </m:rPr>
                          <m:t>anom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m:oMath>
                    <m:sSub>
                      <m:e>
                        <m:r>
                          <m:t>N</m:t>
                        </m:r>
                      </m:e>
                      <m:sub>
                        <m:r>
                          <m:rPr>
                            <m:nor/>
                            <m:sty m:val="p"/>
                          </m:rPr>
                          <m:t>fert</m:t>
                        </m:r>
                      </m:sub>
                    </m:sSub>
                  </m:oMath>
                  <w:r>
                    <w:t xml:space="preserve">​</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5"/>
          <w:p/>
        </w:tc>
      </w:tr>
    </w:tbl>
    <w:bookmarkEnd w:id="36"/>
    <w:bookmarkStart w:id="37" w:name="X44bb14175a86972320c11f91acf6da54ae42ffd"/>
    <w:p>
      <w:pPr>
        <w:pStyle w:val="Heading3"/>
      </w:pPr>
      <w:r>
        <w:t xml:space="preserve">2.5.6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rPr>
                <m:nor/>
                <m:sty m:val="p"/>
              </m:rPr>
              <m:t>desorption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rPr>
                  <m:nor/>
                  <m:sty m:val="p"/>
                </m:rPr>
                <m:t>desorption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rPr>
                  <m:nor/>
                  <m:sty m:val="p"/>
                </m:rPr>
                <m:t>desorption</m:t>
              </m:r>
            </m:sub>
          </m:sSub>
          <m:r>
            <m:rPr>
              <m:sty m:val="p"/>
            </m:rPr>
            <m:t>=</m:t>
          </m:r>
          <m:r>
            <m:t>k</m:t>
          </m:r>
          <m:r>
            <m:rPr>
              <m:sty m:val="p"/>
            </m:rPr>
            <m:t>⋅</m:t>
          </m:r>
          <m:r>
            <m:rPr>
              <m:sty m:val="p"/>
            </m:rPr>
            <m:t>(</m:t>
          </m:r>
          <m:sSub>
            <m:e>
              <m:r>
                <m:t>c</m:t>
              </m:r>
            </m:e>
            <m:sub>
              <m:r>
                <m:rPr>
                  <m:nor/>
                  <m:sty m:val="p"/>
                </m:rPr>
                <m:t>max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7"/>
    <w:bookmarkStart w:id="38" w:name="X3d15f69965185051e846eea8dbb9acce028ce2c"/>
    <w:p>
      <w:pPr>
        <w:pStyle w:val="Heading3"/>
      </w:pPr>
      <w:r>
        <w:t xml:space="preserve">2.5.7 6. Derivation of Critical Thresholds (</w:t>
      </w:r>
      <m:oMath>
        <m:sSub>
          <m:e>
            <m:r>
              <m:t>P</m:t>
            </m:r>
          </m:e>
          <m:sub>
            <m:r>
              <m:rPr>
                <m:nor/>
                <m:sty m:val="p"/>
              </m:rPr>
              <m:t>crit</m:t>
            </m:r>
          </m:sub>
        </m:sSub>
      </m:oMath>
      <w:r>
        <w:t xml:space="preserve">)</w:t>
      </w:r>
    </w:p>
    <w:p>
      <w:pPr>
        <w:pStyle w:val="FirstParagraph"/>
      </w:pPr>
      <w:r>
        <w:t xml:space="preserve">To translate the mechanistic models into actionable agronomic metrics, the critical Soil Test Phosphorus (</w:t>
      </w:r>
      <m:oMath>
        <m:sSub>
          <m:e>
            <m:r>
              <m:t>P</m:t>
            </m:r>
          </m:e>
          <m:sub>
            <m:r>
              <m:rPr>
                <m:nor/>
                <m:sty m:val="p"/>
              </m:rPr>
              <m:t>crit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rPr>
                <m:nor/>
                <m:sty m:val="p"/>
              </m:rPr>
              <m:t>crit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rPr>
                <m:nor/>
                <m:sty m:val="p"/>
              </m:rPr>
              <m:t>rel</m:t>
            </m:r>
          </m:sub>
        </m:sSub>
        <m:r>
          <m:rPr>
            <m:sty m:val="p"/>
          </m:rPr>
          <m:t>=</m:t>
        </m:r>
        <m:r>
          <m:t>1</m:t>
        </m:r>
        <m:r>
          <m:rPr>
            <m:sty m:val="p"/>
          </m:rPr>
          <m:t>−</m:t>
        </m:r>
        <m:r>
          <m:rPr>
            <m:sty m:val="p"/>
          </m:rPr>
          <m:t>exp</m:t>
        </m:r>
        <m:r>
          <m:rPr>
            <m:sty m:val="p"/>
          </m:rPr>
          <m:t>(</m:t>
        </m:r>
        <m:r>
          <m:rPr>
            <m:sty m:val="p"/>
          </m:rPr>
          <m:t>−</m:t>
        </m:r>
        <m:sSub>
          <m:e>
            <m:r>
              <m:t>c</m:t>
            </m:r>
          </m:e>
          <m:sub>
            <m:r>
              <m:rPr>
                <m:nor/>
                <m:sty m:val="p"/>
              </m:rPr>
              <m:t>eff</m:t>
            </m:r>
          </m:sub>
        </m:sSub>
        <m:r>
          <m:rPr>
            <m:sty m:val="p"/>
          </m:rPr>
          <m:t>⋅</m:t>
        </m:r>
        <m:r>
          <m:rPr>
            <m:sty m:val="p"/>
          </m:rPr>
          <m:t>(</m:t>
        </m:r>
        <m:r>
          <m:rPr>
            <m:nor/>
            <m:sty m:val="p"/>
          </m:rPr>
          <m:t>STP</m:t>
        </m:r>
        <m:r>
          <m:rPr>
            <m:sty m:val="p"/>
          </m:rPr>
          <m:t>+</m:t>
        </m:r>
        <m:sSub>
          <m:e>
            <m:r>
              <m:t>E</m:t>
            </m:r>
          </m:e>
          <m:sub>
            <m:r>
              <m:rPr>
                <m:nor/>
                <m:sty m:val="p"/>
              </m:rPr>
              <m:t>base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rPr>
                      <m:nor/>
                      <m:sty m:val="p"/>
                    </m:rPr>
                    <m:t>eff</m:t>
                  </m:r>
                </m:sub>
              </m:sSub>
            </m:den>
          </m:f>
          <m:r>
            <m:rPr>
              <m:sty m:val="p"/>
            </m:rPr>
            <m:t>−</m:t>
          </m:r>
          <m:sSub>
            <m:e>
              <m:r>
                <m:t>E</m:t>
              </m:r>
            </m:e>
            <m:sub>
              <m:r>
                <m:rPr>
                  <m:nor/>
                  <m:sty m:val="p"/>
                </m:rPr>
                <m:t>base</m:t>
              </m:r>
            </m:sub>
          </m:sSub>
        </m:oMath>
      </m:oMathPara>
    </w:p>
    <w:p>
      <w:pPr>
        <w:pStyle w:val="FirstParagraph"/>
      </w:pPr>
      <w:r>
        <w:t xml:space="preserve">Where the effective rate constant incorporates the pedoclimatic penalties:</w:t>
      </w:r>
      <w:r>
        <w:t xml:space="preserve"> </w:t>
      </w:r>
      <m:oMath>
        <m:sSub>
          <m:e>
            <m:r>
              <m:t>c</m:t>
            </m:r>
          </m:e>
          <m:sub>
            <m:r>
              <m:rPr>
                <m:nor/>
                <m:sty m:val="p"/>
              </m:rPr>
              <m:t>eff</m:t>
            </m:r>
          </m:sub>
        </m:sSub>
        <m:r>
          <m:rPr>
            <m:sty m:val="p"/>
          </m:rPr>
          <m:t>=</m:t>
        </m:r>
        <m:sSub>
          <m:e>
            <m:r>
              <m:t>c</m:t>
            </m:r>
          </m:e>
          <m:sub>
            <m:r>
              <m:rPr>
                <m:nor/>
                <m:sty m:val="p"/>
              </m:rPr>
              <m:t>base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rPr>
                <m:nor/>
                <m:sty m:val="p"/>
              </m:rPr>
              <m:t>base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rPr>
                <m:nor/>
                <m:sty m:val="p"/>
              </m:rPr>
              <m:t>base</m:t>
            </m:r>
          </m:sub>
        </m:sSub>
        <m:r>
          <m:rPr>
            <m:sty m:val="p"/>
          </m:rPr>
          <m:t>+</m:t>
        </m:r>
        <m:sSub>
          <m:e>
            <m:r>
              <m:t>S</m:t>
            </m:r>
          </m:e>
          <m:sub>
            <m:r>
              <m:rPr>
                <m:nor/>
                <m:sty m:val="p"/>
              </m:rPr>
              <m:t>acc</m:t>
            </m:r>
          </m:sub>
        </m:sSub>
        <m:r>
          <m:rPr>
            <m:sty m:val="p"/>
          </m:rPr>
          <m:t>⋅</m:t>
        </m:r>
        <m:r>
          <m:rPr>
            <m:nor/>
            <m:sty m:val="p"/>
          </m:rPr>
          <m:t>STP</m:t>
        </m:r>
      </m:oMath>
      <w:r>
        <w:t xml:space="preserve">) for the target</w:t>
      </w:r>
      <w:r>
        <w:t xml:space="preserve"> </w:t>
      </w:r>
      <m:oMath>
        <m:sSub>
          <m:e>
            <m:r>
              <m:t>C</m:t>
            </m:r>
          </m:e>
          <m:sub>
            <m:r>
              <m:rPr>
                <m:nor/>
                <m:sty m:val="p"/>
              </m:rPr>
              <m:t>base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rPr>
                      <m:nor/>
                      <m:sty m:val="p"/>
                    </m:rPr>
                    <m:t>base</m:t>
                  </m:r>
                </m:sub>
              </m:sSub>
            </m:num>
            <m:den>
              <m:sSub>
                <m:e>
                  <m:r>
                    <m:t>S</m:t>
                  </m:r>
                </m:e>
                <m:sub>
                  <m:r>
                    <m:rPr>
                      <m:nor/>
                      <m:sty m:val="p"/>
                    </m:rPr>
                    <m:t>base</m:t>
                  </m:r>
                </m:sub>
              </m:sSub>
              <m:r>
                <m:rPr>
                  <m:sty m:val="p"/>
                </m:rPr>
                <m:t>+</m:t>
              </m:r>
              <m:sSub>
                <m:e>
                  <m:r>
                    <m:t>β</m:t>
                  </m:r>
                </m:e>
                <m:sub>
                  <m:r>
                    <m:t>v</m:t>
                  </m:r>
                  <m:r>
                    <m:t>0</m:t>
                  </m:r>
                </m:sub>
              </m:sSub>
              <m:r>
                <m:rPr>
                  <m:sty m:val="p"/>
                </m:rPr>
                <m:t>⋅</m:t>
              </m:r>
              <m:sSub>
                <m:e>
                  <m:r>
                    <m:t>v</m:t>
                  </m:r>
                </m:e>
                <m:sub>
                  <m:r>
                    <m:t>0</m:t>
                  </m:r>
                </m:sub>
              </m:sSub>
              <m:r>
                <m:rPr>
                  <m:sty m:val="p"/>
                </m:rPr>
                <m:t>+</m:t>
              </m:r>
              <m:sSub>
                <m:e>
                  <m:r>
                    <m:t>β</m:t>
                  </m:r>
                </m:e>
                <m:sub>
                  <m:r>
                    <m:rPr>
                      <m:nor/>
                      <m:sty m:val="p"/>
                    </m:rPr>
                    <m:t>invb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rPr>
                <m:nor/>
                <m:sty m:val="p"/>
              </m:rPr>
              <m:t>acc</m:t>
            </m:r>
          </m:sub>
        </m:sSub>
      </m:oMath>
      <w:r>
        <w:t xml:space="preserve">), inherently reducing the</w:t>
      </w:r>
      <w:r>
        <w:t xml:space="preserve"> </w:t>
      </w:r>
      <m:oMath>
        <m:sSub>
          <m:e>
            <m:r>
              <m:t>P</m:t>
            </m:r>
          </m:e>
          <m:sub>
            <m:r>
              <m:rPr>
                <m:nor/>
                <m:sty m:val="p"/>
              </m:rPr>
              <m:t>crit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rPr>
                <m:nor/>
                <m:sty m:val="p"/>
              </m:rPr>
              <m:t>up</m:t>
            </m:r>
          </m:sub>
        </m:sSub>
      </m:oMath>
      <w:r>
        <w:t xml:space="preserve">) yields a direct relationship with the effective half-saturation constant (</w:t>
      </w:r>
      <m:oMath>
        <m:sSub>
          <m:e>
            <m:r>
              <m:t>K</m:t>
            </m:r>
          </m:e>
          <m:sub>
            <m:r>
              <m:rPr>
                <m:nor/>
                <m:sty m:val="p"/>
              </m:rPr>
              <m:t>eff</m:t>
            </m:r>
          </m:sub>
        </m:sSub>
      </m:oMath>
      <w:r>
        <w:t xml:space="preserve">):</w:t>
      </w:r>
    </w:p>
    <w:p>
      <w:pPr>
        <w:pStyle w:val="BodyText"/>
      </w:pPr>
      <m:oMathPara>
        <m:oMathParaPr>
          <m:jc m:val="center"/>
        </m:oMathParaPr>
        <m:oMath>
          <m:sSub>
            <m:e>
              <m:r>
                <m:t>q</m:t>
              </m:r>
            </m:e>
            <m:sub>
              <m:r>
                <m:rPr>
                  <m:nor/>
                  <m:sty m:val="p"/>
                </m:rPr>
                <m:t>up</m:t>
              </m:r>
            </m:sub>
          </m:sSub>
          <m:r>
            <m:rPr>
              <m:sty m:val="p"/>
            </m:rPr>
            <m:t>=</m:t>
          </m:r>
          <m:f>
            <m:fPr>
              <m:type m:val="bar"/>
            </m:fPr>
            <m:num>
              <m:sSub>
                <m:e>
                  <m:r>
                    <m:t>P</m:t>
                  </m:r>
                </m:e>
                <m:sub>
                  <m:r>
                    <m:t>c</m:t>
                  </m:r>
                  <m:r>
                    <m:t>r</m:t>
                  </m:r>
                  <m:r>
                    <m:t>i</m:t>
                  </m:r>
                  <m:r>
                    <m:t>t</m:t>
                  </m:r>
                  <m:r>
                    <m:rPr>
                      <m:sty m:val="p"/>
                    </m:rPr>
                    <m:t>_</m:t>
                  </m:r>
                  <m:r>
                    <m:t>u</m:t>
                  </m:r>
                  <m:r>
                    <m:t>p</m:t>
                  </m:r>
                </m:sub>
              </m:sSub>
            </m:num>
            <m:den>
              <m:sSub>
                <m:e>
                  <m:r>
                    <m:t>K</m:t>
                  </m:r>
                </m:e>
                <m:sub>
                  <m:r>
                    <m:rPr>
                      <m:nor/>
                      <m:sty m:val="p"/>
                    </m:rPr>
                    <m:t>eff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rPr>
                          <m:nor/>
                          <m:sty m:val="p"/>
                        </m:rPr>
                        <m:t>up</m:t>
                      </m:r>
                    </m:sub>
                  </m:sSub>
                </m:num>
                <m:den>
                  <m:r>
                    <m:t>1</m:t>
                  </m:r>
                  <m:r>
                    <m:rPr>
                      <m:sty m:val="p"/>
                    </m:rPr>
                    <m:t>−</m:t>
                  </m:r>
                  <m:sSub>
                    <m:e>
                      <m:r>
                        <m:t>q</m:t>
                      </m:r>
                    </m:e>
                    <m:sub>
                      <m:r>
                        <m:rPr>
                          <m:nor/>
                          <m:sty m:val="p"/>
                        </m:rPr>
                        <m:t>up</m:t>
                      </m:r>
                    </m:sub>
                  </m:sSub>
                </m:den>
              </m:f>
            </m:e>
          </m:d>
          <m:sSub>
            <m:e>
              <m:r>
                <m:t>K</m:t>
              </m:r>
            </m:e>
            <m:sub>
              <m:r>
                <m:rPr>
                  <m:nor/>
                  <m:sty m:val="p"/>
                </m:rPr>
                <m:t>eff</m:t>
              </m:r>
            </m:sub>
          </m:sSub>
        </m:oMath>
      </m:oMathPara>
    </w:p>
    <w:p>
      <w:pPr>
        <w:pStyle w:val="FirstParagraph"/>
      </w:pPr>
      <w:r>
        <w:t xml:space="preserve">Where</w:t>
      </w:r>
      <w:r>
        <w:t xml:space="preserve"> </w:t>
      </w:r>
      <m:oMath>
        <m:sSub>
          <m:e>
            <m:r>
              <m:t>K</m:t>
            </m:r>
          </m:e>
          <m:sub>
            <m:r>
              <m:rPr>
                <m:nor/>
                <m:sty m:val="p"/>
              </m:rPr>
              <m:t>eff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bookmarkEnd w:id="38"/>
    <w:bookmarkStart w:id="39" w:name="X6a8fbc11665ccd2298c81845bf3bb9d9d54d83d"/>
    <w:p>
      <w:pPr>
        <w:pStyle w:val="Heading3"/>
      </w:pPr>
      <w:r>
        <w:t xml:space="preserve">2.5.8 7. The Management of Covariate Data: Two Distinct Approaches</w:t>
      </w:r>
    </w:p>
    <w:p>
      <w:pPr>
        <w:pStyle w:val="FirstParagraph"/>
      </w:pPr>
      <w:r>
        <w:t xml:space="preserve">As established by</w:t>
      </w:r>
      <w:r>
        <w:t xml:space="preserve"> </w:t>
      </w:r>
      <w:r>
        <w:t xml:space="preserve">Hirte et al. (2021)</w:t>
      </w:r>
      <w:r>
        <w:t xml:space="preserve">, incorporating pedoclimatic covariates is strictly necessary for obtaining robust, site- and crop-specific plant response models. However, the mathematical architecture used to integrate these covariates fundamentally impacts model stability and generalizability.</w:t>
      </w:r>
    </w:p>
    <w:p>
      <w:pPr>
        <w:pStyle w:val="BodyText"/>
      </w:pPr>
      <w:r>
        <w:t xml:space="preserve">Across all models, the experimental structure was formalized using hierarchical random intercepts,</w:t>
      </w:r>
      <w:r>
        <w:t xml:space="preserve"> </w:t>
      </w:r>
      <w:r>
        <w:rPr>
          <w:rStyle w:val="VerbatimChar"/>
        </w:rPr>
        <w:t xml:space="preserve">(1 | site/year)</w:t>
      </w:r>
      <w:r>
        <w:t xml:space="preserve">, to absorb time-invariant site fertility and broader climatic potential. Consequently, the main effects of our chosen covariates act exclusively as</w:t>
      </w:r>
      <w:r>
        <w:t xml:space="preserve"> </w:t>
      </w:r>
      <w:r>
        <w:rPr>
          <w:i/>
          <w:iCs/>
        </w:rPr>
        <w:t xml:space="preserve">deviations</w:t>
      </w:r>
      <w:r>
        <w:t xml:space="preserve"> </w:t>
      </w:r>
      <w:r>
        <w:t xml:space="preserve">modulating the base phosphorus affinity (</w:t>
      </w:r>
      <m:oMath>
        <m:sSub>
          <m:e>
            <m:r>
              <m:t>K</m:t>
            </m:r>
          </m:e>
          <m:sub>
            <m:r>
              <m:rPr>
                <m:nor/>
                <m:sty m:val="p"/>
              </m:rPr>
              <m:t>base</m:t>
            </m:r>
          </m:sub>
        </m:sSub>
      </m:oMath>
      <w:r>
        <w:t xml:space="preserve">). To benchmark model generalization and test the risk of overparameterization, we evaluated two fundamentally different architectures for incorporating these soil constraints:</w:t>
      </w:r>
    </w:p>
    <w:p>
      <w:pPr>
        <w:pStyle w:val="BodyText"/>
      </w:pPr>
      <w:r>
        <w:rPr>
          <w:b/>
          <w:bCs/>
        </w:rPr>
        <w:t xml:space="preserve">1. The Heuristic Approach</w:t>
      </w:r>
      <w:r>
        <w:t xml:space="preserve"> </w:t>
      </w:r>
      <w:r>
        <w:t xml:space="preserve">We first established a</w:t>
      </w:r>
      <w:r>
        <w:t xml:space="preserve"> </w:t>
      </w:r>
      <w:r>
        <w:t xml:space="preserve">“Null”</w:t>
      </w:r>
      <w:r>
        <w:t xml:space="preserve"> </w:t>
      </w:r>
      <w:r>
        <w:t xml:space="preserve">baseline using a Michaelis-Menten geometry, explicitly abandoning the classical Mitscherlich asymptote which systematically failed Hamiltonian convergence due to the algebraically unbounded nature of its exponential parameterization. The Heuristic approach then expanded this baseline by directly injecting six raw pedoclimatic variables (soil pH, clay content, organic carbon, calcium, and site-normalized temperature and precipitation anomalies) as simultaneous exponential modifiers on</w:t>
      </w:r>
      <w:r>
        <w:t xml:space="preserve"> </w:t>
      </w:r>
      <m:oMath>
        <m:sSub>
          <m:e>
            <m:r>
              <m:t>K</m:t>
            </m:r>
          </m:e>
          <m:sub>
            <m:r>
              <m:rPr>
                <m:nor/>
                <m:sty m:val="p"/>
              </m:rPr>
              <m:t>base</m:t>
            </m:r>
          </m:sub>
        </m:sSub>
      </m:oMath>
      <w:r>
        <w:t xml:space="preserve">.</w:t>
      </w:r>
    </w:p>
    <w:p>
      <w:pPr>
        <w:pStyle w:val="BodyText"/>
      </w:pPr>
      <w:r>
        <w:rPr>
          <w:b/>
          <w:bCs/>
        </w:rPr>
        <w:t xml:space="preserve">2. The Mechanistic Approach</w:t>
      </w:r>
      <w:r>
        <w:t xml:space="preserve"> </w:t>
      </w:r>
      <w:r>
        <w:t xml:space="preserve">Rather than directly feeding raw soil chemistry into the agronomic model, the Mechanistic approach first condensed this pedoclimatic complexity through non-linear desorption kinetics (following the fundamental principles of Flossmann &amp; Richter, 1982). This yielded exactly two fundamental thermodynamic parameters—the diffusion bottleneck (</w:t>
      </w:r>
      <m:oMath>
        <m:r>
          <m:t>1</m:t>
        </m:r>
        <m:r>
          <m:rPr>
            <m:sty m:val="p"/>
          </m:rPr>
          <m:t>/</m:t>
        </m:r>
        <m:r>
          <m:t>b</m:t>
        </m:r>
      </m:oMath>
      <w:r>
        <w:t xml:space="preserve">) and the desorption rate (</w:t>
      </w:r>
      <m:oMath>
        <m:r>
          <m:t>k</m:t>
        </m:r>
      </m:oMath>
      <w:r>
        <w:t xml:space="preserve">)—which were then deployed alongside management variables (temperature, precipitation, and nitrogen fertilization) to predict crop response.</w:t>
      </w:r>
    </w:p>
    <w:p>
      <w:pPr>
        <w:pStyle w:val="BodyText"/>
      </w:pPr>
      <w:r>
        <w:rPr>
          <w:b/>
          <w:bCs/>
        </w:rPr>
        <w:t xml:space="preserve">Model Evaluation</w:t>
      </w:r>
      <w:r>
        <w:t xml:space="preserve"> </w:t>
      </w:r>
      <w:r>
        <w:t xml:space="preserve">By condensing raw covariates into physical constraints (</w:t>
      </w:r>
      <m:oMath>
        <m:r>
          <m:t>b</m:t>
        </m:r>
      </m:oMath>
      <w:r>
        <w:t xml:space="preserve"> </w:t>
      </w:r>
      <w:r>
        <w:t xml:space="preserve">and</w:t>
      </w:r>
      <w:r>
        <w:t xml:space="preserve"> </w:t>
      </w:r>
      <m:oMath>
        <m:r>
          <m:t>k</m:t>
        </m:r>
      </m:oMath>
      <w:r>
        <w:t xml:space="preserve">), we sought to determine if the Mechanistic approach generalizes more robustly to unseen data, or if the direct inclusion of all raw soil variables in the Heuristic model provides superior predictive power. Models were rigorously evaluated and compared based on their Hamiltonian stability (</w:t>
      </w:r>
      <m:oMath>
        <m:acc>
          <m:accPr>
            <m:chr m:val="̂"/>
          </m:accPr>
          <m:e>
            <m:r>
              <m:t>R</m:t>
            </m:r>
          </m:e>
        </m:acc>
      </m:oMath>
      <w:r>
        <w:t xml:space="preserve">), root-mean-square error (RMSE), pseudo-</w:t>
      </w:r>
      <m:oMath>
        <m:sSup>
          <m:e>
            <m:r>
              <m:t>R</m:t>
            </m:r>
          </m:e>
          <m:sup>
            <m:r>
              <m:t>2</m:t>
            </m:r>
          </m:sup>
        </m:sSup>
      </m:oMath>
      <w:r>
        <w:t xml:space="preserve"> </w:t>
      </w:r>
      <w:r>
        <w:t xml:space="preserve">(marginal and conditional), and out-of-sample expected log predictive density utilizing Leave-One-Out Cross-Validation (LOOIC).</w:t>
      </w:r>
    </w:p>
    <w:p>
      <w:pPr>
        <w:pStyle w:val="BodyText"/>
      </w:pPr>
      <w:r>
        <w:t xml:space="preserve">For an agronomic and environmental science context, it is crucial to distinguish between a model’s ability to</w:t>
      </w:r>
      <w:r>
        <w:t xml:space="preserve"> </w:t>
      </w:r>
      <w:r>
        <w:t xml:space="preserve">“fit”</w:t>
      </w:r>
      <w:r>
        <w:t xml:space="preserve"> </w:t>
      </w:r>
      <w:r>
        <w:t xml:space="preserve">the data it was trained on (RMSE,</w:t>
      </w:r>
      <w:r>
        <w:t xml:space="preserve"> </w:t>
      </w:r>
      <m:oMath>
        <m:sSup>
          <m:e>
            <m:r>
              <m:t>R</m:t>
            </m:r>
          </m:e>
          <m:sup>
            <m:r>
              <m:t>2</m:t>
            </m:r>
          </m:sup>
        </m:sSup>
      </m:oMath>
      <w:r>
        <w:t xml:space="preserve">) versus its ability to safely predict entirely new, unseen field sites (LOOIC). LOOIC operates by iteratively hiding one observation at a time, forcing the model to predict the missing data point; models with a lower (more negative) LOOIC generalize better to the real world. During this cross-validation process, we also calculate the effective number of parameters (</w:t>
      </w:r>
      <m:oMath>
        <m:sSub>
          <m:e>
            <m:r>
              <m:t>p</m:t>
            </m:r>
          </m:e>
          <m:sub>
            <m:r>
              <m:t>l</m:t>
            </m:r>
            <m:r>
              <m:t>o</m:t>
            </m:r>
            <m:r>
              <m:t>o</m:t>
            </m:r>
          </m:sub>
        </m:sSub>
      </m:oMath>
      <w:r>
        <w:t xml:space="preserve">). In complex agronomic models with multiple interacting pedoclimatic covariates, an inflated</w:t>
      </w:r>
      <w:r>
        <w:t xml:space="preserve"> </w:t>
      </w:r>
      <m:oMath>
        <m:sSub>
          <m:e>
            <m:r>
              <m:t>p</m:t>
            </m:r>
          </m:e>
          <m:sub>
            <m:r>
              <m:t>l</m:t>
            </m:r>
            <m:r>
              <m:t>o</m:t>
            </m:r>
            <m:r>
              <m:t>o</m:t>
            </m:r>
          </m:sub>
        </m:sSub>
      </m:oMath>
      <w:r>
        <w:t xml:space="preserve"> </w:t>
      </w:r>
      <w:r>
        <w:t xml:space="preserve">metric acts as a direct diagnostic warning for</w:t>
      </w:r>
      <w:r>
        <w:t xml:space="preserve"> </w:t>
      </w:r>
      <w:r>
        <w:t xml:space="preserve">“overfitting”</w:t>
      </w:r>
      <w:r>
        <w:t xml:space="preserve">—indicating that the model is hallucinating relationships and memorizing random micro-climate noise rather than capturing universally applicable physical mechanisms.</w:t>
      </w:r>
    </w:p>
    <w:p>
      <w:r>
        <w:br w:type="page"/>
      </w:r>
    </w:p>
    <w:bookmarkEnd w:id="39"/>
    <w:bookmarkEnd w:id="40"/>
    <w:bookmarkEnd w:id="41"/>
    <w:bookmarkStart w:id="80" w:name="results"/>
    <w:p>
      <w:pPr>
        <w:pStyle w:val="Heading1"/>
      </w:pPr>
      <w:r>
        <w:t xml:space="preserve">3. Results</w:t>
      </w:r>
    </w:p>
    <w:bookmarkStart w:id="46" w:name="the-blind-spot-of-empirical-soil-tests"/>
    <w:p>
      <w:pPr>
        <w:pStyle w:val="Heading2"/>
      </w:pPr>
      <w:r>
        <w:t xml:space="preserve">3.1 The Blind Spot of Empirical Soil Tests</w:t>
      </w:r>
    </w:p>
    <w:p>
      <w:pPr>
        <w:pStyle w:val="FirstParagraph"/>
      </w:pPr>
      <w:r>
        <w:t xml:space="preserve">Standard empirical soil tests (STP) rely on chemical extraction to quantify a static</w:t>
      </w:r>
      <w:r>
        <w:t xml:space="preserve"> </w:t>
      </w:r>
      <w:r>
        <w:t xml:space="preserve">“stock”</w:t>
      </w:r>
      <w:r>
        <w:t xml:space="preserve"> </w:t>
      </w:r>
      <w:r>
        <w:t xml:space="preserve">of available phosphorus. However, these extractions are inherently blind to the dynamic physical constraints that govern how quickly that phosphorus can actually move through the soil matrix to the root surface.</w:t>
      </w:r>
    </w:p>
    <w:p>
      <w:pPr>
        <w:pStyle w:val="BodyText"/>
      </w:pPr>
      <w:r>
        <w:t xml:space="preserve">As demonstrated in</w:t>
      </w:r>
      <w:r>
        <w:t xml:space="preserve"> </w:t>
      </w:r>
      <w:hyperlink w:anchor="fig-kinetic-vs-empirical">
        <w:r>
          <w:rPr>
            <w:rStyle w:val="Hyperlink"/>
          </w:rPr>
          <w:t xml:space="preserve">Figure 1</w:t>
        </w:r>
      </w:hyperlink>
      <w:r>
        <w:t xml:space="preserve">, soils that are classified identically by empirical extractions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can exhibit drastically different physical properties. A soil with a theoretically</w:t>
      </w:r>
      <w:r>
        <w:t xml:space="preserve"> </w:t>
      </w:r>
      <w:r>
        <w:t xml:space="preserve">“adequate”</w:t>
      </w:r>
      <w:r>
        <w:t xml:space="preserve"> </w:t>
      </w:r>
      <m:oMath>
        <m:sSub>
          <m:e>
            <m:r>
              <m:t>P</m:t>
            </m:r>
          </m:e>
          <m:sub>
            <m:r>
              <m:t>C</m:t>
            </m:r>
            <m:sSub>
              <m:e>
                <m:r>
                  <m:t>O</m:t>
                </m:r>
              </m:e>
              <m:sub>
                <m:r>
                  <m:t>2</m:t>
                </m:r>
              </m:sub>
            </m:sSub>
          </m:sub>
        </m:sSub>
      </m:oMath>
      <w:r>
        <w:t xml:space="preserve"> </w:t>
      </w:r>
      <w:r>
        <w:t xml:space="preserve">extraction value of 1.0 mg/kg can possess a diffusion restriction proxy (</w:t>
      </w:r>
      <m:oMath>
        <m:r>
          <m:t>1</m:t>
        </m:r>
        <m:r>
          <m:rPr>
            <m:sty m:val="p"/>
          </m:rPr>
          <m:t>/</m:t>
        </m:r>
        <m:r>
          <m:t>b</m:t>
        </m:r>
      </m:oMath>
      <w:r>
        <w:t xml:space="preserve">) ranging anywhere from 0.05 to 0.45, and a desorption rate (</w:t>
      </w:r>
      <m:oMath>
        <m:r>
          <m:t>k</m:t>
        </m:r>
      </m:oMath>
      <w:r>
        <w:t xml:space="preserve">) that varies just as wildly.</w:t>
      </w:r>
    </w:p>
    <w:p>
      <w:pPr>
        <w:pStyle w:val="BodyText"/>
      </w:pPr>
      <w:r>
        <w:t xml:space="preserve">Ultimately, there appears to be no distinct connection between empirical STP measurements and fundamental kinetic variables. For any given STP value, a soil can exhibit a wide range of differing kinetic and diffusive properties, meaning these standard extractions do not inherently reflect the physical supply mechanisms of the soil matrix.</w:t>
      </w:r>
    </w:p>
    <w:tbl>
      <w:tblPr>
        <w:tblStyle w:val="Table"/>
        <w:tblW w:type="pct" w:w="5000"/>
        <w:tblLayout w:type="fixed"/>
        <w:tblLook w:firstRow="0" w:lastRow="0" w:firstColumn="0" w:lastColumn="0" w:noHBand="0" w:noVBand="0" w:val="0000"/>
      </w:tblPr>
      <w:tblGrid>
        <w:gridCol w:w="7920"/>
      </w:tblGrid>
      <w:tr>
        <w:tc>
          <w:tcPr/>
          <w:bookmarkStart w:id="45" w:name="fig-kinetic-vs-empirical"/>
          <w:p>
            <w:pPr>
              <w:pStyle w:val="Compact"/>
              <w:jc w:val="center"/>
            </w:pPr>
            <w:r>
              <w:drawing>
                <wp:inline>
                  <wp:extent cx="5334000" cy="8001000"/>
                  <wp:effectExtent b="0" l="0" r="0" t="0"/>
                  <wp:docPr descr="" title="" id="43" name="Picture"/>
                  <a:graphic>
                    <a:graphicData uri="http://schemas.openxmlformats.org/drawingml/2006/picture">
                      <pic:pic>
                        <pic:nvPicPr>
                          <pic:cNvPr descr="index_files/figure-docx/fig-kinetic-vs-empirical-1.png" id="44" name="Picture"/>
                          <pic:cNvPicPr>
                            <a:picLocks noChangeArrowheads="1" noChangeAspect="1"/>
                          </pic:cNvPicPr>
                        </pic:nvPicPr>
                        <pic:blipFill>
                          <a:blip r:embed="rId42"/>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long-term P balance across standard empirical tests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versus physical desorption kinetics (Buffer capacity</w:t>
            </w:r>
            <w:r>
              <w:t xml:space="preserve"> </w:t>
            </w:r>
            <m:oMath>
              <m:r>
                <m:t>b</m:t>
              </m:r>
            </m:oMath>
            <w:r>
              <w:t xml:space="preserve">, Diffusion proxy</w:t>
            </w:r>
            <w:r>
              <w:t xml:space="preserve"> </w:t>
            </w:r>
            <m:oMath>
              <m:r>
                <m:t>1</m:t>
              </m:r>
              <m:r>
                <m:rPr>
                  <m:sty m:val="p"/>
                </m:rPr>
                <m:t>/</m:t>
              </m:r>
              <m:r>
                <m:t>b</m:t>
              </m:r>
            </m:oMath>
            <w:r>
              <w:t xml:space="preserve">, and Desorption rate</w:t>
            </w:r>
            <w:r>
              <w:t xml:space="preserve"> </w:t>
            </w:r>
            <m:oMath>
              <m:r>
                <m:t>k</m:t>
              </m:r>
            </m:oMath>
            <w:r>
              <w:t xml:space="preserve">). Red indicates a positive P balance (surplus), while green indicates a negative P balance (deficit). Note the lack of correlation between the empirical</w:t>
            </w:r>
            <w:r>
              <w:t xml:space="preserve"> </w:t>
            </w:r>
            <w:r>
              <w:t xml:space="preserve">‘stock’</w:t>
            </w:r>
            <w:r>
              <w:t xml:space="preserve"> </w:t>
            </w:r>
            <w:r>
              <w:t xml:space="preserve">and the physical</w:t>
            </w:r>
            <w:r>
              <w:t xml:space="preserve"> </w:t>
            </w:r>
            <w:r>
              <w:t xml:space="preserve">‘flow’</w:t>
            </w:r>
            <w:r>
              <w:t xml:space="preserve"> </w:t>
            </w:r>
            <w:r>
              <w:t xml:space="preserve">properties.</w:t>
            </w:r>
          </w:p>
          <w:bookmarkEnd w:id="45"/>
        </w:tc>
      </w:tr>
    </w:tbl>
    <w:bookmarkEnd w:id="46"/>
    <w:bookmarkStart w:id="51" w:name="plant-response-variables"/>
    <w:p>
      <w:pPr>
        <w:pStyle w:val="Heading2"/>
      </w:pPr>
      <w:r>
        <w:t xml:space="preserve">3.2 Plant Response Variables</w:t>
      </w:r>
    </w:p>
    <w:p>
      <w:pPr>
        <w:pStyle w:val="FirstParagraph"/>
      </w:pPr>
      <w:r>
        <w:t xml:space="preserve">When evaluating predictive performance, it is important to strictly distinguish between crop yield and actual P uptake. While both serve as agronomic response variables, yield inherently exhibits greater variance and environmental noise. This instability occurs because the internal phosphorus concentration of the crop tissue (</w:t>
      </w:r>
      <m:oMath>
        <m:sSub>
          <m:e>
            <m:r>
              <m:t>C</m:t>
            </m:r>
          </m:e>
          <m:sub>
            <m:r>
              <m:t>P</m:t>
            </m:r>
          </m:sub>
        </m:sSub>
      </m:oMath>
      <w:r>
        <w:t xml:space="preserve">) can fluctuate significantly—driven by luxury consumption in P-rich environments or physiological dilution during rapid biomass accumulation. Consequently, P uptake provides a more direct, mechanistically linked reflection of soil P availability than raw yield, which acts as a heavily buffered secondary response.</w:t>
      </w:r>
    </w:p>
    <w:tbl>
      <w:tblPr>
        <w:tblStyle w:val="Table"/>
        <w:tblW w:type="pct" w:w="5000"/>
        <w:tblLayout w:type="fixed"/>
        <w:tblLook w:firstRow="0" w:lastRow="0" w:firstColumn="0" w:lastColumn="0" w:noHBand="0" w:noVBand="0" w:val="0000"/>
      </w:tblPr>
      <w:tblGrid>
        <w:gridCol w:w="7920"/>
      </w:tblGrid>
      <w:tr>
        <w:tc>
          <w:tcPr/>
          <w:bookmarkStart w:id="50" w:name="fig-yield-vs-uptake"/>
          <w:p>
            <w:pPr>
              <w:pStyle w:val="Compact"/>
              <w:jc w:val="center"/>
            </w:pPr>
            <w:r>
              <w:drawing>
                <wp:inline>
                  <wp:extent cx="5334000" cy="4000500"/>
                  <wp:effectExtent b="0" l="0" r="0" t="0"/>
                  <wp:docPr descr="" title="" id="48" name="Picture"/>
                  <a:graphic>
                    <a:graphicData uri="http://schemas.openxmlformats.org/drawingml/2006/picture">
                      <pic:pic>
                        <pic:nvPicPr>
                          <pic:cNvPr descr="index_files/figure-docx/fig-yield-vs-uptake-1.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Total Yield versus Annual P Uptake grouped by crop type. The polynomial trend lines highlight the non-linear decoupling of yield from uptake at higher availability levels, driven by fluctuating internal plant P concentrations (</w:t>
            </w:r>
            <m:oMath>
              <m:sSub>
                <m:e>
                  <m:r>
                    <m:t>C</m:t>
                  </m:r>
                </m:e>
                <m:sub>
                  <m:r>
                    <m:t>P</m:t>
                  </m:r>
                </m:sub>
              </m:sSub>
            </m:oMath>
            <w:r>
              <w:t xml:space="preserve">).</w:t>
            </w:r>
          </w:p>
          <w:bookmarkEnd w:id="50"/>
        </w:tc>
      </w:tr>
    </w:tbl>
    <w:bookmarkEnd w:id="51"/>
    <w:bookmarkStart w:id="65" w:name="yield-model-comparison"/>
    <w:p>
      <w:pPr>
        <w:pStyle w:val="Heading2"/>
      </w:pPr>
      <w:r>
        <w:t xml:space="preserve">3.3 Yield model comparison</w:t>
      </w:r>
    </w:p>
    <w:p>
      <w:pPr>
        <w:pStyle w:val="FirstParagraph"/>
      </w:pPr>
      <w:r>
        <w:t xml:space="preserve">To evaluate whether thermodynamic kinetic parameters offer an advantage over empirical supply classes, we compared the predictive power of five non-linear mixed-effects models against a null model. All models accounted for site-specific and crop-specific yield ceilings via hierarchical random effects (</w:t>
      </w:r>
      <m:oMath>
        <m:r>
          <m:t>1</m:t>
        </m:r>
        <m:r>
          <m:rPr>
            <m:sty m:val="p"/>
          </m:rPr>
          <m:t>|</m:t>
        </m:r>
        <m:r>
          <m:rPr>
            <m:nor/>
            <m:sty m:val="p"/>
          </m:rPr>
          <m:t>site/year</m:t>
        </m:r>
      </m:oMath>
      <w:r>
        <w:t xml:space="preserve">). They differed in how the base availability (</w:t>
      </w:r>
      <m:oMath>
        <m:sSub>
          <m:e>
            <m:r>
              <m:t>K</m:t>
            </m:r>
          </m:e>
          <m:sub>
            <m:r>
              <m:t>b</m:t>
            </m:r>
            <m:r>
              <m:t>a</m:t>
            </m:r>
            <m:r>
              <m:t>s</m:t>
            </m:r>
            <m:r>
              <m:t>e</m:t>
            </m:r>
          </m:sub>
        </m:sSub>
      </m:oMath>
      <w:r>
        <w:t xml:space="preserve">) of the STP (</w:t>
      </w:r>
      <m:oMath>
        <m:sSub>
          <m:e>
            <m:r>
              <m:t>P</m:t>
            </m:r>
          </m:e>
          <m:sub>
            <m:r>
              <m:t>C</m:t>
            </m:r>
            <m:sSub>
              <m:e>
                <m:r>
                  <m:t>O</m:t>
                </m:r>
              </m:e>
              <m:sub>
                <m:r>
                  <m:t>2</m:t>
                </m:r>
              </m:sub>
            </m:sSub>
          </m:sub>
        </m:sSub>
      </m:oMath>
      <w:r>
        <w:t xml:space="preserve"> </w:t>
      </w:r>
      <w:r>
        <w:t xml:space="preserve">or</w:t>
      </w:r>
      <w:r>
        <w:t xml:space="preserve"> </w:t>
      </w:r>
      <m:oMath>
        <m:sSub>
          <m:e>
            <m:r>
              <m:t>P</m:t>
            </m:r>
          </m:e>
          <m:sub>
            <m:r>
              <m:t>A</m:t>
            </m:r>
            <m:r>
              <m:t>A</m:t>
            </m:r>
            <m:r>
              <m:t>E</m:t>
            </m:r>
            <m:r>
              <m:t>10</m:t>
            </m:r>
          </m:sub>
        </m:sSub>
      </m:oMath>
      <w:r>
        <w:t xml:space="preserve">) was modulated.</w:t>
      </w:r>
    </w:p>
    <w:p>
      <w:pPr>
        <w:pStyle w:val="BodyText"/>
      </w:pPr>
      <w:r>
        <w:t xml:space="preserve">While the Heuristic</w:t>
      </w:r>
      <w:r>
        <w:t xml:space="preserve"> </w:t>
      </w:r>
      <m:oMath>
        <m:r>
          <m:t>C</m:t>
        </m:r>
        <m:sSub>
          <m:e>
            <m:r>
              <m:t>O</m:t>
            </m:r>
          </m:e>
          <m:sub>
            <m:r>
              <m:t>2</m:t>
            </m:r>
          </m:sub>
        </m:sSub>
      </m:oMath>
      <w:r>
        <w:t xml:space="preserve"> </w:t>
      </w:r>
      <w:r>
        <w:t xml:space="preserve">model achieved the lowest root mean square error (RMSE = 10.56) on the training data, the Bayesian leave-one-out cross-validation (</w:t>
      </w:r>
      <m:oMath>
        <m:r>
          <m:t>L</m:t>
        </m:r>
        <m:r>
          <m:t>O</m:t>
        </m:r>
        <m:r>
          <m:t>O</m:t>
        </m:r>
        <m:r>
          <m:t>I</m:t>
        </m:r>
        <m:r>
          <m:t>C</m:t>
        </m:r>
      </m:oMath>
      <w:r>
        <w:t xml:space="preserve">) indicated that this performance was associated with severe overfitting to the six pedoclimatic covariates (</w:t>
      </w:r>
      <m:oMath>
        <m:sSub>
          <m:e>
            <m:r>
              <m:t>p</m:t>
            </m:r>
          </m:e>
          <m:sub>
            <m:r>
              <m:t>l</m:t>
            </m:r>
            <m:r>
              <m:t>o</m:t>
            </m:r>
            <m:r>
              <m:t>o</m:t>
            </m:r>
          </m:sub>
        </m:sSub>
        <m:r>
          <m:rPr>
            <m:sty m:val="p"/>
          </m:rPr>
          <m:t>=</m:t>
        </m:r>
        <m:r>
          <m:t>1104.8</m:t>
        </m:r>
      </m:oMath>
      <w:r>
        <w:t xml:space="preserve">).</w:t>
      </w:r>
    </w:p>
    <w:p>
      <w:pPr>
        <w:pStyle w:val="BodyText"/>
      </w:pPr>
      <w:r>
        <w:t xml:space="preserve">In contrast, the Mechanistic model, which constrained</w:t>
      </w:r>
      <w:r>
        <w:t xml:space="preserve"> </w:t>
      </w:r>
      <m:oMath>
        <m:sSub>
          <m:e>
            <m:r>
              <m:t>K</m:t>
            </m:r>
          </m:e>
          <m:sub>
            <m:r>
              <m:t>b</m:t>
            </m:r>
            <m:r>
              <m:t>a</m:t>
            </m:r>
            <m:r>
              <m:t>s</m:t>
            </m:r>
            <m:r>
              <m:t>e</m:t>
            </m:r>
          </m:sub>
        </m:sSub>
      </m:oMath>
      <w:r>
        <w:t xml:space="preserve"> </w:t>
      </w:r>
      <w:r>
        <w:t xml:space="preserve">strictly to the physical limits of the desorption rate (</w:t>
      </w:r>
      <m:oMath>
        <m:r>
          <m:t>k</m:t>
        </m:r>
      </m:oMath>
      <w:r>
        <w:t xml:space="preserve">) and buffer capacity (</w:t>
      </w:r>
      <m:oMath>
        <m:r>
          <m:t>1</m:t>
        </m:r>
        <m:r>
          <m:rPr>
            <m:sty m:val="p"/>
          </m:rPr>
          <m:t>/</m:t>
        </m:r>
        <m:r>
          <m:t>b</m:t>
        </m:r>
      </m:oMath>
      <w:r>
        <w:t xml:space="preserve">), generalized better (</w:t>
      </w:r>
      <m:oMath>
        <m:r>
          <m:rPr>
            <m:sty m:val="p"/>
          </m:rPr>
          <m:t>Δ</m:t>
        </m:r>
        <m:r>
          <m:t>L</m:t>
        </m:r>
        <m:r>
          <m:t>O</m:t>
        </m:r>
        <m:r>
          <m:t>O</m:t>
        </m:r>
        <m:r>
          <m:t>I</m:t>
        </m:r>
        <m:r>
          <m:t>C</m:t>
        </m:r>
        <m:r>
          <m:rPr>
            <m:sty m:val="p"/>
          </m:rPr>
          <m:t>=</m:t>
        </m:r>
        <m:r>
          <m:rPr>
            <m:sty m:val="p"/>
          </m:rPr>
          <m:t>−</m:t>
        </m:r>
        <m:r>
          <m:t>1086</m:t>
        </m:r>
      </m:oMath>
      <w:r>
        <w:t xml:space="preserve"> </w:t>
      </w:r>
      <w:r>
        <w:t xml:space="preserve">vs. Heuristic</w:t>
      </w:r>
      <w:r>
        <w:t xml:space="preserve"> </w:t>
      </w:r>
      <m:oMath>
        <m:r>
          <m:t>C</m:t>
        </m:r>
        <m:sSub>
          <m:e>
            <m:r>
              <m:t>O</m:t>
            </m:r>
          </m:e>
          <m:sub>
            <m:r>
              <m:t>2</m:t>
            </m:r>
          </m:sub>
        </m:sSub>
      </m:oMath>
      <w:r>
        <w:t xml:space="preserve">;</w:t>
      </w:r>
      <w:r>
        <w:t xml:space="preserve"> </w:t>
      </w:r>
      <m:oMath>
        <m:sSub>
          <m:e>
            <m:r>
              <m:t>p</m:t>
            </m:r>
          </m:e>
          <m:sub>
            <m:r>
              <m:t>l</m:t>
            </m:r>
            <m:r>
              <m:t>o</m:t>
            </m:r>
            <m:r>
              <m:t>o</m:t>
            </m:r>
          </m:sub>
        </m:sSub>
        <m:r>
          <m:rPr>
            <m:sty m:val="p"/>
          </m:rPr>
          <m:t>=</m:t>
        </m:r>
        <m:r>
          <m:t>247.2</m:t>
        </m:r>
      </m:oMath>
      <w:r>
        <w:t xml:space="preserve">).</w:t>
      </w:r>
    </w:p>
    <w:p>
      <w:pPr>
        <w:pStyle w:val="BodyText"/>
      </w:pPr>
      <w:r>
        <w:t xml:space="preserve">However, neither the empirical STPs nor the kinetic parameters demonstrated strong predictive power for absolute crop yield when compared to the Null model (</w:t>
      </w:r>
      <m:oMath>
        <m:r>
          <m:rPr>
            <m:sty m:val="p"/>
          </m:rPr>
          <m:t>Δ</m:t>
        </m:r>
        <m:r>
          <m:t>L</m:t>
        </m:r>
        <m:r>
          <m:t>O</m:t>
        </m:r>
        <m:r>
          <m:t>O</m:t>
        </m:r>
        <m:r>
          <m:t>I</m:t>
        </m:r>
        <m:r>
          <m:t>C</m:t>
        </m:r>
        <m:r>
          <m:rPr>
            <m:sty m:val="p"/>
          </m:rPr>
          <m:t>=</m:t>
        </m:r>
        <m:r>
          <m:rPr>
            <m:sty m:val="p"/>
          </m:rPr>
          <m:t>−</m:t>
        </m:r>
        <m:r>
          <m:t>1364</m:t>
        </m:r>
      </m:oMath>
      <w:r>
        <w:t xml:space="preserve"> </w:t>
      </w:r>
      <w:r>
        <w:t xml:space="preserve">vs. Mechanistic). This confirms that short-term agronomic yield is overwhelmingly dominated by local micro-climates and crop biology, rendering the specific physical P-supply mechanism secondary for short-term predictions.</w:t>
      </w:r>
    </w:p>
    <w:tbl>
      <w:tblPr>
        <w:tblStyle w:val="Table"/>
        <w:tblW w:type="pct" w:w="5000"/>
        <w:tblLayout w:type="fixed"/>
        <w:tblLook w:firstRow="0" w:lastRow="0" w:firstColumn="0" w:lastColumn="0" w:noHBand="0" w:noVBand="0" w:val="0000"/>
      </w:tblPr>
      <w:tblGrid>
        <w:gridCol w:w="7920"/>
      </w:tblGrid>
      <w:tr>
        <w:tc>
          <w:tcPr/>
          <w:bookmarkStart w:id="52" w:name="tbl-yield-comparison"/>
          <w:p>
            <w:pPr>
              <w:jc w:val="center"/>
            </w:pPr>
            <w:pPr>
              <w:jc w:val="left"/>
              <w:spacing w:before="200"/>
              <w:pStyle w:val="ImageCaption"/>
            </w:pPr>
            <w:r>
              <w:t xml:space="preserve">Table 4: Comparison of cross-validated predictive performance for yield models.</w:t>
            </w:r>
          </w:p>
          <w:tbl>
            <w:tblPr>
              <w:tblStyle w:val="Table"/>
              <w:tblW w:type="pct" w:w="5000"/>
              <w:tblLayout w:type="fixed"/>
              <w:tblLook w:firstRow="1" w:lastRow="0" w:firstColumn="0" w:lastColumn="0" w:noHBand="0" w:noVBand="0" w:val="0020"/>
            </w:tblPr>
            <w:tblGrid>
              <w:gridCol w:w="1402"/>
              <w:gridCol w:w="2557"/>
              <w:gridCol w:w="495"/>
              <w:gridCol w:w="1072"/>
              <w:gridCol w:w="1072"/>
              <w:gridCol w:w="495"/>
              <w:gridCol w:w="825"/>
            </w:tblGrid>
            <w:tr>
              <w:trPr>
                <w:tblHeader w:val="on"/>
              </w:trPr>
              <w:tc>
                <w:tcPr/>
                <w:p>
                  <w:pPr>
                    <w:pStyle w:val="Compact"/>
                    <w:jc w:val="left"/>
                    <w:jc w:val="center"/>
                  </w:pPr>
                  <w:r>
                    <w:t xml:space="preserve">Model</w:t>
                  </w:r>
                </w:p>
              </w:tc>
              <w:tc>
                <w:tcPr/>
                <w:p>
                  <w:pPr>
                    <w:pStyle w:val="Compact"/>
                    <w:jc w:val="left"/>
                    <w:jc w:val="center"/>
                  </w:pPr>
                  <w:r>
                    <w:t xml:space="preserve">Pedoclimatic Covariates</w:t>
                  </w:r>
                </w:p>
              </w:tc>
              <w:tc>
                <w:tcPr/>
                <w:p>
                  <w:pPr>
                    <w:pStyle w:val="Compact"/>
                    <w:jc w:val="left"/>
                    <w:jc w:val="center"/>
                  </w:pPr>
                  <w:r>
                    <w:t xml:space="preserve">RMSE</w:t>
                  </w:r>
                </w:p>
              </w:tc>
              <w:tc>
                <w:tcPr/>
                <w:p>
                  <w:pPr>
                    <w:pStyle w:val="Compact"/>
                    <w:jc w:val="left"/>
                    <w:jc w:val="center"/>
                  </w:pPr>
                  <m:oMath>
                    <m:sSubSup>
                      <m:e>
                        <m:r>
                          <m:t>R</m:t>
                        </m:r>
                      </m:e>
                      <m:sub>
                        <m:r>
                          <m:t>M</m:t>
                        </m:r>
                        <m:r>
                          <m:t>a</m:t>
                        </m:r>
                        <m:r>
                          <m:t>r</m:t>
                        </m:r>
                        <m:r>
                          <m:t>g</m:t>
                        </m:r>
                      </m:sub>
                      <m:sup>
                        <m:r>
                          <m:t>2</m:t>
                        </m:r>
                      </m:sup>
                    </m:sSubSup>
                  </m:oMath>
                  <w:r>
                    <w:t xml:space="preserve">​</w:t>
                  </w:r>
                </w:p>
              </w:tc>
              <w:tc>
                <w:tcPr/>
                <w:p>
                  <w:pPr>
                    <w:pStyle w:val="Compact"/>
                    <w:jc w:val="left"/>
                    <w:jc w:val="center"/>
                  </w:pPr>
                  <m:oMath>
                    <m:sSubSup>
                      <m:e>
                        <m:r>
                          <m:t>R</m:t>
                        </m:r>
                      </m:e>
                      <m:sub>
                        <m:r>
                          <m:t>C</m:t>
                        </m:r>
                        <m:r>
                          <m:t>o</m:t>
                        </m:r>
                        <m:r>
                          <m:t>n</m:t>
                        </m:r>
                        <m:r>
                          <m:t>d</m:t>
                        </m:r>
                      </m:sub>
                      <m:sup>
                        <m:r>
                          <m:t>2</m:t>
                        </m:r>
                      </m:sup>
                    </m:sSubSup>
                  </m:oMath>
                  <w:r>
                    <w:t xml:space="preserve">​</w:t>
                  </w:r>
                </w:p>
              </w:tc>
              <w:tc>
                <w:tcPr/>
                <w:p>
                  <w:pPr>
                    <w:pStyle w:val="Compact"/>
                    <w:jc w:val="left"/>
                    <w:jc w:val="center"/>
                  </w:pPr>
                  <w:r>
                    <w:t xml:space="preserve">LOOIC</w:t>
                  </w:r>
                </w:p>
              </w:tc>
              <w:tc>
                <w:tcPr/>
                <w:p>
                  <w:pPr>
                    <w:pStyle w:val="Compact"/>
                    <w:jc w:val="left"/>
                    <w:jc w:val="center"/>
                  </w:pPr>
                  <m:oMath>
                    <m:sSub>
                      <m:e>
                        <m:r>
                          <m:t>p</m:t>
                        </m:r>
                      </m:e>
                      <m:sub>
                        <m:r>
                          <m:t>l</m:t>
                        </m:r>
                        <m:r>
                          <m:t>o</m:t>
                        </m:r>
                        <m:r>
                          <m:t>o</m:t>
                        </m:r>
                      </m:sub>
                    </m:sSub>
                  </m:oMath>
                  <w:r>
                    <w:t xml:space="preserve">​</w:t>
                  </w:r>
                </w:p>
              </w:tc>
            </w:tr>
            <w:tr>
              <w:tc>
                <w:tcPr/>
                <w:p>
                  <w:pPr>
                    <w:pStyle w:val="Compact"/>
                    <w:jc w:val="left"/>
                    <w:jc w:val="center"/>
                  </w:pPr>
                  <w:r>
                    <w:t xml:space="preserve">Base Model CO2</w:t>
                  </w:r>
                </w:p>
              </w:tc>
              <w:tc>
                <w:tcPr/>
                <w:p>
                  <w:pPr>
                    <w:pStyle w:val="Compact"/>
                    <w:jc w:val="left"/>
                    <w:jc w:val="center"/>
                  </w:pPr>
                  <w:r>
                    <w:t xml:space="preserve">(None)</w:t>
                  </w:r>
                </w:p>
              </w:tc>
              <w:tc>
                <w:tcPr/>
                <w:p>
                  <w:pPr>
                    <w:pStyle w:val="Compact"/>
                    <w:jc w:val="left"/>
                    <w:jc w:val="center"/>
                  </w:pPr>
                  <w:r>
                    <w:t xml:space="preserve">12.36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79256</w:t>
                  </w:r>
                </w:p>
              </w:tc>
              <w:tc>
                <w:tcPr/>
                <w:p>
                  <w:pPr>
                    <w:pStyle w:val="Compact"/>
                    <w:jc w:val="left"/>
                    <w:jc w:val="center"/>
                  </w:pPr>
                  <w:r>
                    <w:t xml:space="preserve">130.7</w:t>
                  </w:r>
                </w:p>
              </w:tc>
            </w:tr>
            <w:tr>
              <w:tc>
                <w:tcPr/>
                <w:p>
                  <w:pPr>
                    <w:pStyle w:val="Compact"/>
                    <w:jc w:val="left"/>
                    <w:jc w:val="center"/>
                  </w:pPr>
                  <w:r>
                    <w:t xml:space="preserve">Base Model AAE10</w:t>
                  </w:r>
                </w:p>
              </w:tc>
              <w:tc>
                <w:tcPr/>
                <w:p>
                  <w:pPr>
                    <w:pStyle w:val="Compact"/>
                    <w:jc w:val="left"/>
                    <w:jc w:val="center"/>
                  </w:pPr>
                  <w:r>
                    <w:t xml:space="preserve">(None)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Null Model</w:t>
                  </w:r>
                </w:p>
              </w:tc>
              <w:tc>
                <w:tcPr/>
                <w:p>
                  <w:pPr>
                    <w:pStyle w:val="Compact"/>
                    <w:jc w:val="left"/>
                    <w:jc w:val="center"/>
                  </w:pPr>
                  <w:r>
                    <w:t xml:space="preserve">(None)</w:t>
                  </w:r>
                </w:p>
              </w:tc>
              <w:tc>
                <w:tcPr/>
                <w:p>
                  <w:pPr>
                    <w:pStyle w:val="Compact"/>
                    <w:jc w:val="left"/>
                    <w:jc w:val="center"/>
                  </w:pPr>
                  <w:r>
                    <w:t xml:space="preserve">11.50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77999</w:t>
                  </w:r>
                </w:p>
              </w:tc>
              <w:tc>
                <w:tcPr/>
                <w:p>
                  <w:pPr>
                    <w:pStyle w:val="Compact"/>
                    <w:jc w:val="left"/>
                    <w:jc w:val="center"/>
                  </w:pPr>
                  <w:r>
                    <w:t xml:space="preserve">231.5</w:t>
                  </w:r>
                </w:p>
              </w:tc>
            </w:tr>
            <w:tr>
              <w:tc>
                <w:tcPr/>
                <w:p>
                  <w:pPr>
                    <w:pStyle w:val="Compact"/>
                    <w:jc w:val="left"/>
                    <w:jc w:val="center"/>
                  </w:pPr>
                  <w:r>
                    <w:t xml:space="preserve">Heuristic CO2</w:t>
                  </w:r>
                </w:p>
              </w:tc>
              <w:tc>
                <w:tcPr/>
                <w:p>
                  <w:pPr>
                    <w:pStyle w:val="Compact"/>
                    <w:jc w:val="left"/>
                    <w:jc w:val="center"/>
                  </w:pPr>
                  <w:r>
                    <w:t xml:space="preserve">pH, Clay, Corg, Ca, Temp, Prec</w:t>
                  </w:r>
                </w:p>
              </w:tc>
              <w:tc>
                <w:tcPr/>
                <w:p>
                  <w:pPr>
                    <w:pStyle w:val="Compact"/>
                    <w:jc w:val="left"/>
                    <w:jc w:val="center"/>
                  </w:pPr>
                  <w:r>
                    <w:t xml:space="preserve">10.56</w:t>
                  </w:r>
                </w:p>
              </w:tc>
              <w:tc>
                <w:tcPr/>
                <w:p>
                  <w:pPr>
                    <w:pStyle w:val="Compact"/>
                    <w:jc w:val="left"/>
                    <w:jc w:val="center"/>
                  </w:pPr>
                  <w:r>
                    <w:t xml:space="preserve">0.702</w:t>
                  </w:r>
                </w:p>
              </w:tc>
              <w:tc>
                <w:tcPr/>
                <w:p>
                  <w:pPr>
                    <w:pStyle w:val="Compact"/>
                    <w:jc w:val="left"/>
                    <w:jc w:val="center"/>
                  </w:pPr>
                  <w:r>
                    <w:t xml:space="preserve">0.929</w:t>
                  </w:r>
                </w:p>
              </w:tc>
              <w:tc>
                <w:tcPr/>
                <w:p>
                  <w:pPr>
                    <w:pStyle w:val="Compact"/>
                    <w:jc w:val="left"/>
                    <w:jc w:val="center"/>
                  </w:pPr>
                  <w:r>
                    <w:t xml:space="preserve">77721</w:t>
                  </w:r>
                </w:p>
              </w:tc>
              <w:tc>
                <w:tcPr/>
                <w:p>
                  <w:pPr>
                    <w:pStyle w:val="Compact"/>
                    <w:jc w:val="left"/>
                    <w:jc w:val="center"/>
                  </w:pPr>
                  <w:r>
                    <w:t xml:space="preserve">1104.8</w:t>
                  </w:r>
                </w:p>
              </w:tc>
            </w:tr>
            <w:tr>
              <w:tc>
                <w:tcPr/>
                <w:p>
                  <w:pPr>
                    <w:pStyle w:val="Compact"/>
                    <w:jc w:val="left"/>
                    <w:jc w:val="center"/>
                  </w:pPr>
                  <w:r>
                    <w:t xml:space="preserve">Heuristic AAE10</w:t>
                  </w:r>
                </w:p>
              </w:tc>
              <w:tc>
                <w:tcPr/>
                <w:p>
                  <w:pPr>
                    <w:pStyle w:val="Compact"/>
                    <w:jc w:val="left"/>
                    <w:jc w:val="center"/>
                  </w:pPr>
                  <w:r>
                    <w:t xml:space="preserve">pH, Clay, Corg, Ca, Temp, Prec</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Mechanistic</w:t>
                  </w:r>
                </w:p>
              </w:tc>
              <w:tc>
                <w:tcPr/>
                <w:p>
                  <w:pPr>
                    <w:pStyle w:val="Compact"/>
                    <w:jc w:val="left"/>
                    <w:jc w:val="center"/>
                  </w:pPr>
                  <w:r>
                    <w:t xml:space="preserve">1/b, k, N, Temp, Prec</w:t>
                  </w:r>
                </w:p>
              </w:tc>
              <w:tc>
                <w:tcPr/>
                <w:p>
                  <w:pPr>
                    <w:pStyle w:val="Compact"/>
                    <w:jc w:val="left"/>
                    <w:jc w:val="center"/>
                  </w:pPr>
                  <w:r>
                    <w:t xml:space="preserve">10.73</w:t>
                  </w:r>
                </w:p>
              </w:tc>
              <w:tc>
                <w:tcPr/>
                <w:p>
                  <w:pPr>
                    <w:pStyle w:val="Compact"/>
                    <w:jc w:val="left"/>
                    <w:jc w:val="center"/>
                  </w:pPr>
                  <w:r>
                    <w:t xml:space="preserve">0.701</w:t>
                  </w:r>
                </w:p>
              </w:tc>
              <w:tc>
                <w:tcPr/>
                <w:p>
                  <w:pPr>
                    <w:pStyle w:val="Compact"/>
                    <w:jc w:val="left"/>
                    <w:jc w:val="center"/>
                  </w:pPr>
                  <w:r>
                    <w:t xml:space="preserve">0.931</w:t>
                  </w:r>
                </w:p>
              </w:tc>
              <w:tc>
                <w:tcPr/>
                <w:p>
                  <w:pPr>
                    <w:pStyle w:val="Compact"/>
                    <w:jc w:val="left"/>
                    <w:jc w:val="center"/>
                  </w:pPr>
                  <w:r>
                    <w:t xml:space="preserve">76636</w:t>
                  </w:r>
                </w:p>
              </w:tc>
              <w:tc>
                <w:tcPr/>
                <w:p>
                  <w:pPr>
                    <w:pStyle w:val="Compact"/>
                    <w:jc w:val="left"/>
                    <w:jc w:val="center"/>
                  </w:pPr>
                  <w:r>
                    <w:t xml:space="preserve">247.2</w:t>
                  </w:r>
                </w:p>
              </w:tc>
            </w:tr>
          </w:tbl>
          <w:bookmarkEnd w:id="52"/>
          <w:p/>
        </w:tc>
      </w:tr>
    </w:tbl>
    <w:p>
      <w:pPr>
        <w:pStyle w:val="BodyText"/>
      </w:pPr>
      <w:r>
        <w:t xml:space="preserve">To evaluate true predictive power, we relied on the Expected Log Predictive Density (ELPD) calculated via Bayesian leave-one-out cross-validation (LOO-CV). Unlike in-sample error metrics such as RMSE, which invariably reward overly complex models, ELPD rigorously penalizes models that overfit to local noise. The difference in ELPD (</w:t>
      </w:r>
      <m:oMath>
        <m:r>
          <m:rPr>
            <m:sty m:val="p"/>
          </m:rPr>
          <m:t>Δ</m:t>
        </m:r>
      </m:oMath>
      <w:r>
        <w:t xml:space="preserve">ELPD) serves as a relative measure of out-of-sample performance. This metric fundamentally exposes models that achieve low training error merely by hallucinating relationships with non-causal covariates.</w:t>
      </w:r>
    </w:p>
    <w:tbl>
      <w:tblPr>
        <w:tblStyle w:val="Table"/>
        <w:tblW w:type="pct" w:w="5000"/>
        <w:tblLayout w:type="fixed"/>
        <w:tblLook w:firstRow="0" w:lastRow="0" w:firstColumn="0" w:lastColumn="0" w:noHBand="0" w:noVBand="0" w:val="0000"/>
      </w:tblPr>
      <w:tblGrid>
        <w:gridCol w:w="7920"/>
      </w:tblGrid>
      <w:tr>
        <w:tc>
          <w:tcPr/>
          <w:bookmarkStart w:id="56" w:name="fig-yield-looic"/>
          <w:p>
            <w:pPr>
              <w:pStyle w:val="Compact"/>
              <w:jc w:val="center"/>
            </w:pPr>
            <w:r>
              <w:drawing>
                <wp:inline>
                  <wp:extent cx="5334000" cy="4000500"/>
                  <wp:effectExtent b="0" l="0" r="0" t="0"/>
                  <wp:docPr descr="" title="" id="54" name="Picture"/>
                  <a:graphic>
                    <a:graphicData uri="http://schemas.openxmlformats.org/drawingml/2006/picture">
                      <pic:pic>
                        <pic:nvPicPr>
                          <pic:cNvPr descr="index_files/figure-docx/fig-yield-looic-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Predictive Performance (LOO) of yield models relative to the best model. Error bars represent</w:t>
            </w:r>
            <w:r>
              <w:t xml:space="preserve"> </w:t>
            </w:r>
            <m:oMath>
              <m:r>
                <m:rPr>
                  <m:sty m:val="p"/>
                </m:rPr>
                <m:t>±</m:t>
              </m:r>
              <m:r>
                <m:t>2</m:t>
              </m:r>
            </m:oMath>
            <w:r>
              <w:t xml:space="preserve"> </w:t>
            </w:r>
            <w:r>
              <w:t xml:space="preserve">standard errors of the ELPD difference.</w:t>
            </w:r>
          </w:p>
          <w:bookmarkEnd w:id="56"/>
        </w:tc>
      </w:tr>
    </w:tbl>
    <w:tbl>
      <w:tblPr>
        <w:tblStyle w:val="Table"/>
        <w:tblW w:type="pct" w:w="5000"/>
        <w:tblLayout w:type="fixed"/>
        <w:tblLook w:firstRow="0" w:lastRow="0" w:firstColumn="0" w:lastColumn="0" w:noHBand="0" w:noVBand="0" w:val="0000"/>
      </w:tblPr>
      <w:tblGrid>
        <w:gridCol w:w="7920"/>
      </w:tblGrid>
      <w:tr>
        <w:tc>
          <w:tcPr/>
          <w:bookmarkStart w:id="60" w:name="fig-yield-conditional"/>
          <w:p>
            <w:pPr>
              <w:pStyle w:val="Compact"/>
              <w:jc w:val="center"/>
            </w:pPr>
            <w:r>
              <w:drawing>
                <wp:inline>
                  <wp:extent cx="5334000" cy="7112000"/>
                  <wp:effectExtent b="0" l="0" r="0" t="0"/>
                  <wp:docPr descr="" title="" id="58" name="Picture"/>
                  <a:graphic>
                    <a:graphicData uri="http://schemas.openxmlformats.org/drawingml/2006/picture">
                      <pic:pic>
                        <pic:nvPicPr>
                          <pic:cNvPr descr="index_files/figure-docx/fig-yield-conditional-1.png" id="59" name="Picture"/>
                          <pic:cNvPicPr>
                            <a:picLocks noChangeArrowheads="1" noChangeAspect="1"/>
                          </pic:cNvPicPr>
                        </pic:nvPicPr>
                        <pic:blipFill>
                          <a:blip r:embed="rId57"/>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effects of</w:t>
            </w:r>
            <w:r>
              <w:t xml:space="preserve"> </w:t>
            </w:r>
            <m:oMath>
              <m:sSub>
                <m:e>
                  <m:r>
                    <m:t>P</m:t>
                  </m:r>
                </m:e>
                <m:sub>
                  <m:r>
                    <m:t>C</m:t>
                  </m:r>
                  <m:sSub>
                    <m:e>
                      <m:r>
                        <m:t>O</m:t>
                      </m:r>
                    </m:e>
                    <m:sub>
                      <m:r>
                        <m:t>2</m:t>
                      </m:r>
                    </m:sub>
                  </m:sSub>
                </m:sub>
              </m:sSub>
            </m:oMath>
            <w:r>
              <w:t xml:space="preserve"> </w:t>
            </w:r>
            <w:r>
              <w:t xml:space="preserve">STP on predicted yield across crops. The Mechanistic model (blue) produces constrained asymptotic responses bounded by physical desorption parameters. The Heuristic model (orange) demonstrates massive uncertainty and flat average responses, indicating that its predictive power was inappropriately shifted to pedoclimatic covariates.</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yield-shrinkage"/>
          <w:p>
            <w:pPr>
              <w:pStyle w:val="Compact"/>
              <w:jc w:val="center"/>
            </w:pPr>
            <w:r>
              <w:drawing>
                <wp:inline>
                  <wp:extent cx="5334000" cy="3333750"/>
                  <wp:effectExtent b="0" l="0" r="0" t="0"/>
                  <wp:docPr descr="" title="" id="62" name="Picture"/>
                  <a:graphic>
                    <a:graphicData uri="http://schemas.openxmlformats.org/drawingml/2006/picture">
                      <pic:pic>
                        <pic:nvPicPr>
                          <pic:cNvPr descr="index_files/figure-docx/fig-yield-shrinkage-1.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uncertainty (shrinkage) of the crop-specific base affinity (</w:t>
            </w:r>
            <m:oMath>
              <m:sSub>
                <m:e>
                  <m:r>
                    <m:t>K</m:t>
                  </m:r>
                </m:e>
                <m:sub>
                  <m:r>
                    <m:t>b</m:t>
                  </m:r>
                  <m:r>
                    <m:t>a</m:t>
                  </m:r>
                  <m:r>
                    <m:t>s</m:t>
                  </m:r>
                  <m:r>
                    <m:t>e</m:t>
                  </m:r>
                </m:sub>
              </m:sSub>
            </m:oMath>
            <w:r>
              <w:t xml:space="preserve">) for the Mechanistic and Heuristic yield models. The massive 95% credible intervals for the Heuristic model indicate severe overfitting and an inability to constrain the fundamental agronomic relationship, whereas the Mechanistic model is tightly constrained by physical desorption kinetics.</w:t>
            </w:r>
          </w:p>
          <w:bookmarkEnd w:id="64"/>
        </w:tc>
      </w:tr>
    </w:tbl>
    <w:bookmarkEnd w:id="65"/>
    <w:bookmarkStart w:id="79" w:name="phosphorus-uptake-c_p-model-comparison"/>
    <w:p>
      <w:pPr>
        <w:pStyle w:val="Heading2"/>
      </w:pPr>
      <w:r>
        <w:t xml:space="preserve">3.4 Phosphorus Uptake (</w:t>
      </w:r>
      <m:oMath>
        <m:sSub>
          <m:e>
            <m:r>
              <m:t>C</m:t>
            </m:r>
          </m:e>
          <m:sub>
            <m:r>
              <m:t>P</m:t>
            </m:r>
          </m:sub>
        </m:sSub>
      </m:oMath>
      <w:r>
        <w:t xml:space="preserve">) model comparison</w:t>
      </w:r>
    </w:p>
    <w:p>
      <w:pPr>
        <w:pStyle w:val="FirstParagraph"/>
      </w:pPr>
      <w:r>
        <w:t xml:space="preserve">We repeated the identical model hierarchy to predict total plant phosphorus uptake rather than dry matter yield.</w:t>
      </w:r>
    </w:p>
    <w:tbl>
      <w:tblPr>
        <w:tblStyle w:val="Table"/>
        <w:tblW w:type="pct" w:w="5000"/>
        <w:tblLayout w:type="fixed"/>
        <w:tblLook w:firstRow="0" w:lastRow="0" w:firstColumn="0" w:lastColumn="0" w:noHBand="0" w:noVBand="0" w:val="0000"/>
      </w:tblPr>
      <w:tblGrid>
        <w:gridCol w:w="7920"/>
      </w:tblGrid>
      <w:tr>
        <w:tc>
          <w:tcPr/>
          <w:bookmarkStart w:id="66" w:name="tbl-uptake-comparison"/>
          <w:p>
            <w:pPr>
              <w:jc w:val="center"/>
            </w:pPr>
            <w:pPr>
              <w:jc w:val="left"/>
              <w:spacing w:before="200"/>
              <w:pStyle w:val="ImageCaption"/>
            </w:pPr>
            <w:r>
              <w:t xml:space="preserve">Table 5: Comparison of cross-validated predictive performance for total phosphorus uptake models.</w:t>
            </w:r>
          </w:p>
          <w:tbl>
            <w:tblPr>
              <w:tblStyle w:val="Table"/>
              <w:tblW w:type="pct" w:w="5000"/>
              <w:tblLayout w:type="fixed"/>
              <w:tblLook w:firstRow="1" w:lastRow="0" w:firstColumn="0" w:lastColumn="0" w:noHBand="0" w:noVBand="0" w:val="0020"/>
            </w:tblPr>
            <w:tblGrid>
              <w:gridCol w:w="1417"/>
              <w:gridCol w:w="2584"/>
              <w:gridCol w:w="416"/>
              <w:gridCol w:w="1083"/>
              <w:gridCol w:w="1083"/>
              <w:gridCol w:w="500"/>
              <w:gridCol w:w="833"/>
            </w:tblGrid>
            <w:tr>
              <w:trPr>
                <w:tblHeader w:val="on"/>
              </w:trPr>
              <w:tc>
                <w:tcPr/>
                <w:p>
                  <w:pPr>
                    <w:pStyle w:val="Compact"/>
                    <w:jc w:val="left"/>
                    <w:jc w:val="center"/>
                  </w:pPr>
                  <w:r>
                    <w:t xml:space="preserve">Model</w:t>
                  </w:r>
                </w:p>
              </w:tc>
              <w:tc>
                <w:tcPr/>
                <w:p>
                  <w:pPr>
                    <w:pStyle w:val="Compact"/>
                    <w:jc w:val="left"/>
                    <w:jc w:val="center"/>
                  </w:pPr>
                  <w:r>
                    <w:t xml:space="preserve">Pedoclimatic Covariates</w:t>
                  </w:r>
                </w:p>
              </w:tc>
              <w:tc>
                <w:tcPr/>
                <w:p>
                  <w:pPr>
                    <w:pStyle w:val="Compact"/>
                    <w:jc w:val="left"/>
                    <w:jc w:val="center"/>
                  </w:pPr>
                  <w:r>
                    <w:t xml:space="preserve">RMSE</w:t>
                  </w:r>
                </w:p>
              </w:tc>
              <w:tc>
                <w:tcPr/>
                <w:p>
                  <w:pPr>
                    <w:pStyle w:val="Compact"/>
                    <w:jc w:val="left"/>
                    <w:jc w:val="center"/>
                  </w:pPr>
                  <m:oMath>
                    <m:sSubSup>
                      <m:e>
                        <m:r>
                          <m:t>R</m:t>
                        </m:r>
                      </m:e>
                      <m:sub>
                        <m:r>
                          <m:t>M</m:t>
                        </m:r>
                        <m:r>
                          <m:t>a</m:t>
                        </m:r>
                        <m:r>
                          <m:t>r</m:t>
                        </m:r>
                        <m:r>
                          <m:t>g</m:t>
                        </m:r>
                      </m:sub>
                      <m:sup>
                        <m:r>
                          <m:t>2</m:t>
                        </m:r>
                      </m:sup>
                    </m:sSubSup>
                  </m:oMath>
                  <w:r>
                    <w:t xml:space="preserve">​</w:t>
                  </w:r>
                </w:p>
              </w:tc>
              <w:tc>
                <w:tcPr/>
                <w:p>
                  <w:pPr>
                    <w:pStyle w:val="Compact"/>
                    <w:jc w:val="left"/>
                    <w:jc w:val="center"/>
                  </w:pPr>
                  <m:oMath>
                    <m:sSubSup>
                      <m:e>
                        <m:r>
                          <m:t>R</m:t>
                        </m:r>
                      </m:e>
                      <m:sub>
                        <m:r>
                          <m:t>C</m:t>
                        </m:r>
                        <m:r>
                          <m:t>o</m:t>
                        </m:r>
                        <m:r>
                          <m:t>n</m:t>
                        </m:r>
                        <m:r>
                          <m:t>d</m:t>
                        </m:r>
                      </m:sub>
                      <m:sup>
                        <m:r>
                          <m:t>2</m:t>
                        </m:r>
                      </m:sup>
                    </m:sSubSup>
                  </m:oMath>
                  <w:r>
                    <w:t xml:space="preserve">​</w:t>
                  </w:r>
                </w:p>
              </w:tc>
              <w:tc>
                <w:tcPr/>
                <w:p>
                  <w:pPr>
                    <w:pStyle w:val="Compact"/>
                    <w:jc w:val="left"/>
                    <w:jc w:val="center"/>
                  </w:pPr>
                  <w:r>
                    <w:t xml:space="preserve">LOOIC</w:t>
                  </w:r>
                </w:p>
              </w:tc>
              <w:tc>
                <w:tcPr/>
                <w:p>
                  <w:pPr>
                    <w:pStyle w:val="Compact"/>
                    <w:jc w:val="left"/>
                    <w:jc w:val="center"/>
                  </w:pPr>
                  <m:oMath>
                    <m:sSub>
                      <m:e>
                        <m:r>
                          <m:t>p</m:t>
                        </m:r>
                      </m:e>
                      <m:sub>
                        <m:r>
                          <m:t>l</m:t>
                        </m:r>
                        <m:r>
                          <m:t>o</m:t>
                        </m:r>
                        <m:r>
                          <m:t>o</m:t>
                        </m:r>
                      </m:sub>
                    </m:sSub>
                  </m:oMath>
                  <w:r>
                    <w:t xml:space="preserve">​</w:t>
                  </w:r>
                </w:p>
              </w:tc>
            </w:tr>
            <w:tr>
              <w:tc>
                <w:tcPr/>
                <w:p>
                  <w:pPr>
                    <w:pStyle w:val="Compact"/>
                    <w:jc w:val="left"/>
                    <w:jc w:val="center"/>
                  </w:pPr>
                  <w:r>
                    <w:t xml:space="preserve">Base Model CO2</w:t>
                  </w:r>
                </w:p>
              </w:tc>
              <w:tc>
                <w:tcPr/>
                <w:p>
                  <w:pPr>
                    <w:pStyle w:val="Compact"/>
                    <w:jc w:val="left"/>
                    <w:jc w:val="center"/>
                  </w:pPr>
                  <w:r>
                    <w:t xml:space="preserve">(None)</w:t>
                  </w:r>
                </w:p>
              </w:tc>
              <w:tc>
                <w:tcPr/>
                <w:p>
                  <w:pPr>
                    <w:pStyle w:val="Compact"/>
                    <w:jc w:val="left"/>
                    <w:jc w:val="center"/>
                  </w:pPr>
                  <w:r>
                    <w:t xml:space="preserve">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21539</w:t>
                  </w:r>
                </w:p>
              </w:tc>
              <w:tc>
                <w:tcPr/>
                <w:p>
                  <w:pPr>
                    <w:pStyle w:val="Compact"/>
                    <w:jc w:val="left"/>
                    <w:jc w:val="center"/>
                  </w:pPr>
                  <w:r>
                    <w:t xml:space="preserve">118.9</w:t>
                  </w:r>
                </w:p>
              </w:tc>
            </w:tr>
            <w:tr>
              <w:tc>
                <w:tcPr/>
                <w:p>
                  <w:pPr>
                    <w:pStyle w:val="Compact"/>
                    <w:jc w:val="left"/>
                    <w:jc w:val="center"/>
                  </w:pPr>
                  <w:r>
                    <w:t xml:space="preserve">Base Model AAE10</w:t>
                  </w:r>
                </w:p>
              </w:tc>
              <w:tc>
                <w:tcPr/>
                <w:p>
                  <w:pPr>
                    <w:pStyle w:val="Compact"/>
                    <w:jc w:val="left"/>
                    <w:jc w:val="center"/>
                  </w:pPr>
                  <w:r>
                    <w:t xml:space="preserve">(None)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Null Model</w:t>
                  </w:r>
                </w:p>
              </w:tc>
              <w:tc>
                <w:tcPr/>
                <w:p>
                  <w:pPr>
                    <w:pStyle w:val="Compact"/>
                    <w:jc w:val="left"/>
                    <w:jc w:val="center"/>
                  </w:pPr>
                  <w:r>
                    <w:t xml:space="preserve">(None)</w:t>
                  </w:r>
                </w:p>
              </w:tc>
              <w:tc>
                <w:tcPr/>
                <w:p>
                  <w:pPr>
                    <w:pStyle w:val="Compact"/>
                    <w:jc w:val="left"/>
                    <w:jc w:val="center"/>
                  </w:pPr>
                  <w:r>
                    <w:t xml:space="preserve">0.65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20053</w:t>
                  </w:r>
                </w:p>
              </w:tc>
              <w:tc>
                <w:tcPr/>
                <w:p>
                  <w:pPr>
                    <w:pStyle w:val="Compact"/>
                    <w:jc w:val="left"/>
                    <w:jc w:val="center"/>
                  </w:pPr>
                  <w:r>
                    <w:t xml:space="preserve">144.4</w:t>
                  </w:r>
                </w:p>
              </w:tc>
            </w:tr>
            <w:tr>
              <w:tc>
                <w:tcPr/>
                <w:p>
                  <w:pPr>
                    <w:pStyle w:val="Compact"/>
                    <w:jc w:val="left"/>
                    <w:jc w:val="center"/>
                  </w:pPr>
                  <w:r>
                    <w:t xml:space="preserve">Heuristic CO2</w:t>
                  </w:r>
                </w:p>
              </w:tc>
              <w:tc>
                <w:tcPr/>
                <w:p>
                  <w:pPr>
                    <w:pStyle w:val="Compact"/>
                    <w:jc w:val="left"/>
                    <w:jc w:val="center"/>
                  </w:pPr>
                  <w:r>
                    <w:t xml:space="preserve">pH, Clay, Corg, Ca, Temp, Prec</w:t>
                  </w:r>
                </w:p>
              </w:tc>
              <w:tc>
                <w:tcPr/>
                <w:p>
                  <w:pPr>
                    <w:pStyle w:val="Compact"/>
                    <w:jc w:val="left"/>
                    <w:jc w:val="center"/>
                  </w:pPr>
                  <w:r>
                    <w:t xml:space="preserve">0.63</w:t>
                  </w:r>
                </w:p>
              </w:tc>
              <w:tc>
                <w:tcPr/>
                <w:p>
                  <w:pPr>
                    <w:pStyle w:val="Compact"/>
                    <w:jc w:val="left"/>
                    <w:jc w:val="center"/>
                  </w:pPr>
                  <w:r>
                    <w:t xml:space="preserve">0.540</w:t>
                  </w:r>
                </w:p>
              </w:tc>
              <w:tc>
                <w:tcPr/>
                <w:p>
                  <w:pPr>
                    <w:pStyle w:val="Compact"/>
                    <w:jc w:val="left"/>
                    <w:jc w:val="center"/>
                  </w:pPr>
                  <w:r>
                    <w:t xml:space="preserve">0.791</w:t>
                  </w:r>
                </w:p>
              </w:tc>
              <w:tc>
                <w:tcPr/>
                <w:p>
                  <w:pPr>
                    <w:pStyle w:val="Compact"/>
                    <w:jc w:val="left"/>
                    <w:jc w:val="center"/>
                  </w:pPr>
                  <w:r>
                    <w:t xml:space="preserve">19374</w:t>
                  </w:r>
                </w:p>
              </w:tc>
              <w:tc>
                <w:tcPr/>
                <w:p>
                  <w:pPr>
                    <w:pStyle w:val="Compact"/>
                    <w:jc w:val="left"/>
                    <w:jc w:val="center"/>
                  </w:pPr>
                  <w:r>
                    <w:t xml:space="preserve">163.2</w:t>
                  </w:r>
                </w:p>
              </w:tc>
            </w:tr>
            <w:tr>
              <w:tc>
                <w:tcPr/>
                <w:p>
                  <w:pPr>
                    <w:pStyle w:val="Compact"/>
                    <w:jc w:val="left"/>
                    <w:jc w:val="center"/>
                  </w:pPr>
                  <w:r>
                    <w:t xml:space="preserve">Heuristic AAE10</w:t>
                  </w:r>
                </w:p>
              </w:tc>
              <w:tc>
                <w:tcPr/>
                <w:p>
                  <w:pPr>
                    <w:pStyle w:val="Compact"/>
                    <w:jc w:val="left"/>
                    <w:jc w:val="center"/>
                  </w:pPr>
                  <w:r>
                    <w:t xml:space="preserve">pH, Clay, Corg, Ca, Temp, Prec</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Mechanistic</w:t>
                  </w:r>
                </w:p>
              </w:tc>
              <w:tc>
                <w:tcPr/>
                <w:p>
                  <w:pPr>
                    <w:pStyle w:val="Compact"/>
                    <w:jc w:val="left"/>
                    <w:jc w:val="center"/>
                  </w:pPr>
                  <w:r>
                    <w:t xml:space="preserve">1/b, k, N, Temp, Prec</w:t>
                  </w:r>
                </w:p>
              </w:tc>
              <w:tc>
                <w:tcPr/>
                <w:p>
                  <w:pPr>
                    <w:pStyle w:val="Compact"/>
                    <w:jc w:val="left"/>
                    <w:jc w:val="center"/>
                  </w:pPr>
                  <w:r>
                    <w:t xml:space="preserve">0.64</w:t>
                  </w:r>
                </w:p>
              </w:tc>
              <w:tc>
                <w:tcPr/>
                <w:p>
                  <w:pPr>
                    <w:pStyle w:val="Compact"/>
                    <w:jc w:val="left"/>
                    <w:jc w:val="center"/>
                  </w:pPr>
                  <w:r>
                    <w:t xml:space="preserve">0.534</w:t>
                  </w:r>
                </w:p>
              </w:tc>
              <w:tc>
                <w:tcPr/>
                <w:p>
                  <w:pPr>
                    <w:pStyle w:val="Compact"/>
                    <w:jc w:val="left"/>
                    <w:jc w:val="center"/>
                  </w:pPr>
                  <w:r>
                    <w:t xml:space="preserve">0.782</w:t>
                  </w:r>
                </w:p>
              </w:tc>
              <w:tc>
                <w:tcPr/>
                <w:p>
                  <w:pPr>
                    <w:pStyle w:val="Compact"/>
                    <w:jc w:val="left"/>
                    <w:jc w:val="center"/>
                  </w:pPr>
                  <w:r>
                    <w:t xml:space="preserve">19820</w:t>
                  </w:r>
                </w:p>
              </w:tc>
              <w:tc>
                <w:tcPr/>
                <w:p>
                  <w:pPr>
                    <w:pStyle w:val="Compact"/>
                    <w:jc w:val="left"/>
                    <w:jc w:val="center"/>
                  </w:pPr>
                  <w:r>
                    <w:t xml:space="preserve">160.8</w:t>
                  </w:r>
                </w:p>
              </w:tc>
            </w:tr>
          </w:tbl>
          <w:bookmarkEnd w:id="66"/>
          <w:p/>
        </w:tc>
      </w:tr>
    </w:tbl>
    <w:p>
      <w:pPr>
        <w:pStyle w:val="BodyText"/>
      </w:pPr>
      <w:r>
        <w:t xml:space="preserve">In a stark divergence from the yield models, the Heuristic</w:t>
      </w:r>
      <w:r>
        <w:t xml:space="preserve"> </w:t>
      </w:r>
      <m:oMath>
        <m:r>
          <m:t>C</m:t>
        </m:r>
        <m:sSub>
          <m:e>
            <m:r>
              <m:t>O</m:t>
            </m:r>
          </m:e>
          <m:sub>
            <m:r>
              <m:t>2</m:t>
            </m:r>
          </m:sub>
        </m:sSub>
      </m:oMath>
      <w:r>
        <w:t xml:space="preserve"> </w:t>
      </w:r>
      <w:r>
        <w:t xml:space="preserve">model demonstrated the highest predictive power both in-sample (RMSE = 0.62) and out-of-sample (LOOIC = 19374).</w:t>
      </w:r>
    </w:p>
    <w:p>
      <w:pPr>
        <w:pStyle w:val="BodyText"/>
      </w:pPr>
      <w:r>
        <w:t xml:space="preserve">Crucially, the Heuristic uptake model did not suffer from the severe overfitting observed in the yield predictions; its effective number of parameters (</w:t>
      </w:r>
      <m:oMath>
        <m:sSub>
          <m:e>
            <m:r>
              <m:t>p</m:t>
            </m:r>
          </m:e>
          <m:sub>
            <m:r>
              <m:t>l</m:t>
            </m:r>
            <m:r>
              <m:t>o</m:t>
            </m:r>
            <m:r>
              <m:t>o</m:t>
            </m:r>
          </m:sub>
        </m:sSub>
        <m:r>
          <m:rPr>
            <m:sty m:val="p"/>
          </m:rPr>
          <m:t>=</m:t>
        </m:r>
        <m:r>
          <m:t>163.2</m:t>
        </m:r>
      </m:oMath>
      <w:r>
        <w:t xml:space="preserve">) was nearly identical to the strictly constrained Mechanistic model (</w:t>
      </w:r>
      <m:oMath>
        <m:sSub>
          <m:e>
            <m:r>
              <m:t>p</m:t>
            </m:r>
          </m:e>
          <m:sub>
            <m:r>
              <m:t>l</m:t>
            </m:r>
            <m:r>
              <m:t>o</m:t>
            </m:r>
            <m:r>
              <m:t>o</m:t>
            </m:r>
          </m:sub>
        </m:sSub>
        <m:r>
          <m:rPr>
            <m:sty m:val="p"/>
          </m:rPr>
          <m:t>=</m:t>
        </m:r>
        <m:r>
          <m:t>160.7</m:t>
        </m:r>
      </m:oMath>
      <w:r>
        <w:t xml:space="preserve">). This indicates that the pedoclimatic covariates (pH, Clay, Temperature, Precipitation) were capturing true, generalizable physical signals rather than memorizing local noise.</w:t>
      </w:r>
    </w:p>
    <w:p>
      <w:pPr>
        <w:pStyle w:val="BodyText"/>
      </w:pPr>
      <w:r>
        <w:t xml:space="preserve">This phenomenological divergence is biologically consistent. While absolute dry matter yield is a highly confounded metric capped by dozens of non-phosphorus environmental factors, luxury plant P-uptake (</w:t>
      </w:r>
      <m:oMath>
        <m:sSub>
          <m:e>
            <m:r>
              <m:t>C</m:t>
            </m:r>
          </m:e>
          <m:sub>
            <m:r>
              <m:t>P</m:t>
            </m:r>
          </m:sub>
        </m:sSub>
      </m:oMath>
      <w:r>
        <w:t xml:space="preserve">) is tightly coupled to the physical diffusion of P to the roots and active root metabolism. Therefore, allowing local soil properties and climate variables to flexibly modulate the apparent availability of the empirical STP (</w:t>
      </w:r>
      <m:oMath>
        <m:sSub>
          <m:e>
            <m:r>
              <m:t>P</m:t>
            </m:r>
          </m:e>
          <m:sub>
            <m:r>
              <m:t>C</m:t>
            </m:r>
            <m:sSub>
              <m:e>
                <m:r>
                  <m:t>O</m:t>
                </m:r>
              </m:e>
              <m:sub>
                <m:r>
                  <m:t>2</m:t>
                </m:r>
              </m:sub>
            </m:sSub>
          </m:sub>
        </m:sSub>
      </m:oMath>
      <w:r>
        <w:t xml:space="preserve">) legitimately improves the prediction of biological P-acquisition over purely thermodynamic bounds.</w:t>
      </w:r>
    </w:p>
    <w:tbl>
      <w:tblPr>
        <w:tblStyle w:val="Table"/>
        <w:tblW w:type="pct" w:w="5000"/>
        <w:tblLayout w:type="fixed"/>
        <w:tblLook w:firstRow="0" w:lastRow="0" w:firstColumn="0" w:lastColumn="0" w:noHBand="0" w:noVBand="0" w:val="0000"/>
      </w:tblPr>
      <w:tblGrid>
        <w:gridCol w:w="7920"/>
      </w:tblGrid>
      <w:tr>
        <w:tc>
          <w:tcPr/>
          <w:bookmarkStart w:id="70" w:name="fig-uptake-looic"/>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uptake-looic-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Out-of-Sample Predictive Performance (LOO) of P-Uptake models. In stark contrast to dry matter yield, the Heuristic model genuinely outperforms the Mechanistic constraints out-of-sample.</w:t>
            </w:r>
          </w:p>
          <w:bookmarkEnd w:id="70"/>
        </w:tc>
      </w:tr>
    </w:tbl>
    <w:tbl>
      <w:tblPr>
        <w:tblStyle w:val="Table"/>
        <w:tblW w:type="pct" w:w="5000"/>
        <w:tblLayout w:type="fixed"/>
        <w:tblLook w:firstRow="0" w:lastRow="0" w:firstColumn="0" w:lastColumn="0" w:noHBand="0" w:noVBand="0" w:val="0000"/>
      </w:tblPr>
      <w:tblGrid>
        <w:gridCol w:w="7920"/>
      </w:tblGrid>
      <w:tr>
        <w:tc>
          <w:tcPr/>
          <w:bookmarkStart w:id="74" w:name="fig-uptake-conditional"/>
          <w:p>
            <w:pPr>
              <w:pStyle w:val="Compact"/>
              <w:jc w:val="center"/>
            </w:pPr>
            <w:r>
              <w:drawing>
                <wp:inline>
                  <wp:extent cx="5334000" cy="4000500"/>
                  <wp:effectExtent b="0" l="0" r="0" t="0"/>
                  <wp:docPr descr="" title="" id="72" name="Picture"/>
                  <a:graphic>
                    <a:graphicData uri="http://schemas.openxmlformats.org/drawingml/2006/picture">
                      <pic:pic>
                        <pic:nvPicPr>
                          <pic:cNvPr descr="index_files/figure-docx/fig-uptake-conditional-1.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Conditional effects of STP on P-Uptake. Because the pedoclimatic covariates capture true signal for P-acquisition, the Heuristic model produces stable, physically meaningful response curves without hallucinating.</w:t>
            </w:r>
          </w:p>
          <w:bookmarkEnd w:id="74"/>
        </w:tc>
      </w:tr>
    </w:tbl>
    <w:p>
      <w:pPr>
        <w:pStyle w:val="BodyText"/>
      </w:pPr>
      <w:r>
        <w:t xml:space="preserve">To fully understand</w:t>
      </w:r>
      <w:r>
        <w:t xml:space="preserve"> </w:t>
      </w:r>
      <w:r>
        <w:rPr>
          <w:i/>
          <w:iCs/>
        </w:rPr>
        <w:t xml:space="preserve">why</w:t>
      </w:r>
      <w:r>
        <w:t xml:space="preserve"> </w:t>
      </w:r>
      <w:r>
        <w:t xml:space="preserve">the pedoclimatic covariates induce severe overfitting in the yield models but provide genuine predictive power for P-uptake, we can examine the estimated effect sizes (and their uncertainties) across both agronomic responses (</w:t>
      </w:r>
      <w:hyperlink w:anchor="fig-covariate-effects">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covariate-effects"/>
          <w:p>
            <w:pPr>
              <w:pStyle w:val="Compact"/>
              <w:jc w:val="center"/>
            </w:pPr>
            <w:r>
              <w:drawing>
                <wp:inline>
                  <wp:extent cx="5334000" cy="3556000"/>
                  <wp:effectExtent b="0" l="0" r="0" t="0"/>
                  <wp:docPr descr="" title="" id="76" name="Picture"/>
                  <a:graphic>
                    <a:graphicData uri="http://schemas.openxmlformats.org/drawingml/2006/picture">
                      <pic:pic>
                        <pic:nvPicPr>
                          <pic:cNvPr descr="index_files/figure-docx/fig-covariate-effects-1.png" id="77" name="Picture"/>
                          <pic:cNvPicPr>
                            <a:picLocks noChangeArrowheads="1" noChangeAspect="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Forest plot of estimated covariate modifiers on base P availability (</w:t>
            </w:r>
            <m:oMath>
              <m:sSub>
                <m:e>
                  <m:r>
                    <m:t>K</m:t>
                  </m:r>
                </m:e>
                <m:sub>
                  <m:r>
                    <m:t>b</m:t>
                  </m:r>
                  <m:r>
                    <m:t>a</m:t>
                  </m:r>
                  <m:r>
                    <m:t>s</m:t>
                  </m:r>
                  <m:r>
                    <m:t>e</m:t>
                  </m:r>
                </m:sub>
              </m:sSub>
            </m:oMath>
            <w:r>
              <w:t xml:space="preserve">) for both Yield and P-Uptake. The Heuristic model’s reliance on soil pH, clay, and organic carbon to predict yield exhibits massive uncertainty (wide 95% CIs) and instability, characteristic of overfitting. In contrast, the effects on P-Uptake are tightly constrained and biologically meaningful.</w:t>
            </w:r>
          </w:p>
          <w:bookmarkEnd w:id="78"/>
        </w:tc>
      </w:tr>
    </w:tbl>
    <w:p>
      <w:r>
        <w:br w:type="page"/>
      </w:r>
    </w:p>
    <w:bookmarkEnd w:id="79"/>
    <w:bookmarkEnd w:id="80"/>
    <w:bookmarkStart w:id="81" w:name="discussion"/>
    <w:p>
      <w:pPr>
        <w:pStyle w:val="Heading1"/>
      </w:pPr>
      <w:r>
        <w:t xml:space="preserve">4. Discussion</w:t>
      </w:r>
    </w:p>
    <w:p>
      <w:r>
        <w:br w:type="page"/>
      </w:r>
    </w:p>
    <w:bookmarkEnd w:id="81"/>
    <w:bookmarkStart w:id="82" w:name="conclusion"/>
    <w:p>
      <w:pPr>
        <w:pStyle w:val="Heading1"/>
      </w:pPr>
      <w:r>
        <w:t xml:space="preserve">5. Conclusion</w:t>
      </w:r>
    </w:p>
    <w:p>
      <w:r>
        <w:br w:type="page"/>
      </w:r>
    </w:p>
    <w:bookmarkEnd w:id="82"/>
    <w:bookmarkStart w:id="83" w:name="acknowledgments"/>
    <w:p>
      <w:pPr>
        <w:pStyle w:val="Heading1"/>
      </w:pPr>
      <w:r>
        <w:t xml:space="preserve">6.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83"/>
    <w:bookmarkStart w:id="122" w:name="references"/>
    <w:p>
      <w:pPr>
        <w:pStyle w:val="Heading1"/>
      </w:pPr>
      <w:r>
        <w:t xml:space="preserve">7. References</w:t>
      </w:r>
    </w:p>
    <w:bookmarkStart w:id="121" w:name="refs"/>
    <w:bookmarkStart w:id="84"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84"/>
    <w:bookmarkStart w:id="85"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85"/>
    <w:bookmarkStart w:id="8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86">
        <w:r>
          <w:rPr>
            <w:rStyle w:val="Hyperlink"/>
          </w:rPr>
          <w:t xml:space="preserve">https://github.com/lme4/lme4/</w:t>
        </w:r>
      </w:hyperlink>
    </w:p>
    <w:bookmarkEnd w:id="87"/>
    <w:bookmarkStart w:id="88"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88"/>
    <w:bookmarkStart w:id="90"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89">
        <w:r>
          <w:rPr>
            <w:rStyle w:val="Hyperlink"/>
          </w:rPr>
          <w:t xml:space="preserve">https://doi.org/10.1002/jpln.200421463</w:t>
        </w:r>
      </w:hyperlink>
    </w:p>
    <w:bookmarkEnd w:id="90"/>
    <w:bookmarkStart w:id="91"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91"/>
    <w:bookmarkStart w:id="9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92"/>
    <w:bookmarkStart w:id="9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93"/>
    <w:bookmarkStart w:id="94"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94"/>
    <w:bookmarkStart w:id="96"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95">
        <w:r>
          <w:rPr>
            <w:rStyle w:val="Hyperlink"/>
          </w:rPr>
          <w:t xml:space="preserve">https://doi.org/10.2134/jeq2000.00472425002900010003x</w:t>
        </w:r>
      </w:hyperlink>
    </w:p>
    <w:bookmarkEnd w:id="96"/>
    <w:bookmarkStart w:id="98"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97">
        <w:r>
          <w:rPr>
            <w:rStyle w:val="Hyperlink"/>
          </w:rPr>
          <w:t xml:space="preserve">https://doi.org/10.1002/jpln.200321081</w:t>
        </w:r>
      </w:hyperlink>
    </w:p>
    <w:bookmarkEnd w:id="98"/>
    <w:bookmarkStart w:id="100" w:name="X7b9e483268b025be998b6e9a0235afce77fb3f7"/>
    <w:p>
      <w:pPr>
        <w:pStyle w:val="Bibliography"/>
      </w:pPr>
      <w:r>
        <w:t xml:space="preserve">Gustafsson, J. P. (2001). Modeling competitive anion adsorption on oxide minerals and an allophane-containing soil.</w:t>
      </w:r>
      <w:r>
        <w:t xml:space="preserve"> </w:t>
      </w:r>
      <w:r>
        <w:rPr>
          <w:i/>
          <w:iCs/>
        </w:rPr>
        <w:t xml:space="preserve">European Journal of Soil Science</w:t>
      </w:r>
      <w:r>
        <w:t xml:space="preserve">,</w:t>
      </w:r>
      <w:r>
        <w:t xml:space="preserve"> </w:t>
      </w:r>
      <w:r>
        <w:rPr>
          <w:i/>
          <w:iCs/>
        </w:rPr>
        <w:t xml:space="preserve">52</w:t>
      </w:r>
      <w:r>
        <w:t xml:space="preserve">(4), 639–653.</w:t>
      </w:r>
      <w:r>
        <w:t xml:space="preserve"> </w:t>
      </w:r>
      <w:hyperlink r:id="rId99">
        <w:r>
          <w:rPr>
            <w:rStyle w:val="Hyperlink"/>
          </w:rPr>
          <w:t xml:space="preserve">https://doi.org/10.1046/j.1365-2389.2001.00407.x</w:t>
        </w:r>
      </w:hyperlink>
    </w:p>
    <w:bookmarkEnd w:id="100"/>
    <w:bookmarkStart w:id="102" w:name="ref-gustafssonVisualMINTEQ32014"/>
    <w:p>
      <w:pPr>
        <w:pStyle w:val="Bibliography"/>
      </w:pPr>
      <w:r>
        <w:t xml:space="preserve">Gustafsson, J. P. (2014).</w:t>
      </w:r>
      <w:r>
        <w:t xml:space="preserve"> </w:t>
      </w:r>
      <w:r>
        <w:rPr>
          <w:i/>
          <w:iCs/>
        </w:rPr>
        <w:t xml:space="preserve">Visual MINTEQ 3.1</w:t>
      </w:r>
      <w:r>
        <w:t xml:space="preserve"> </w:t>
      </w:r>
      <w:r>
        <w:t xml:space="preserve">[Computer software].</w:t>
      </w:r>
      <w:r>
        <w:t xml:space="preserve"> </w:t>
      </w:r>
      <w:hyperlink r:id="rId101">
        <w:r>
          <w:rPr>
            <w:rStyle w:val="Hyperlink"/>
          </w:rPr>
          <w:t xml:space="preserve">https://vminteq.lwr.kth.se/</w:t>
        </w:r>
      </w:hyperlink>
    </w:p>
    <w:bookmarkEnd w:id="102"/>
    <w:bookmarkStart w:id="104"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3">
        <w:r>
          <w:rPr>
            <w:rStyle w:val="Hyperlink"/>
          </w:rPr>
          <w:t xml:space="preserve">https://doi.org/10.1016/j.scitotenv.2020.143453</w:t>
        </w:r>
      </w:hyperlink>
    </w:p>
    <w:bookmarkEnd w:id="104"/>
    <w:bookmarkStart w:id="106"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105">
        <w:r>
          <w:rPr>
            <w:rStyle w:val="Hyperlink"/>
          </w:rPr>
          <w:t xml:space="preserve">https://doi.org/10.1111/j.1475-2743.2012.00453.x</w:t>
        </w:r>
      </w:hyperlink>
    </w:p>
    <w:bookmarkEnd w:id="106"/>
    <w:bookmarkStart w:id="107"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107"/>
    <w:bookmarkStart w:id="108"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108"/>
    <w:bookmarkStart w:id="109"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109"/>
    <w:bookmarkStart w:id="110"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10"/>
    <w:bookmarkStart w:id="111"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111"/>
    <w:bookmarkStart w:id="113"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112">
        <w:r>
          <w:rPr>
            <w:rStyle w:val="Hyperlink"/>
          </w:rPr>
          <w:t xml:space="preserve">https://svn.r-project.org/R-packages/trunk/nlme/</w:t>
        </w:r>
      </w:hyperlink>
    </w:p>
    <w:bookmarkEnd w:id="113"/>
    <w:bookmarkStart w:id="115"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14">
        <w:r>
          <w:rPr>
            <w:rStyle w:val="Hyperlink"/>
          </w:rPr>
          <w:t xml:space="preserve">https://doi.org/10.32614/R.manuals</w:t>
        </w:r>
      </w:hyperlink>
    </w:p>
    <w:bookmarkEnd w:id="115"/>
    <w:bookmarkStart w:id="116"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116"/>
    <w:bookmarkStart w:id="117"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17"/>
    <w:bookmarkStart w:id="119"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118">
        <w:r>
          <w:rPr>
            <w:rStyle w:val="Hyperlink"/>
          </w:rPr>
          <w:t xml:space="preserve">https://doi.org/10.1016/j.agee.2022.107926</w:t>
        </w:r>
      </w:hyperlink>
    </w:p>
    <w:bookmarkEnd w:id="119"/>
    <w:bookmarkStart w:id="120"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20"/>
    <w:bookmarkEnd w:id="121"/>
    <w:p>
      <w:r>
        <w:br w:type="page"/>
      </w:r>
    </w:p>
    <w:p>
      <w:r>
        <w:br w:type="page"/>
      </w:r>
    </w:p>
    <w:bookmarkEnd w:id="122"/>
    <w:bookmarkStart w:id="128" w:name="X9e048107fe8a95a2cfc9c411b28919bf3fa4601"/>
    <w:p>
      <w:pPr>
        <w:pStyle w:val="Heading1"/>
      </w:pPr>
      <w:r>
        <w:t xml:space="preserve">8. Appendix: Thermodynamic Correction of</w:t>
      </w:r>
      <w:r>
        <w:t xml:space="preserve"> </w:t>
      </w:r>
      <m:oMath>
        <m:sSub>
          <m:e>
            <m:r>
              <m:t>P</m:t>
            </m:r>
          </m:e>
          <m:sub>
            <m:r>
              <m:t>e</m:t>
            </m:r>
            <m:r>
              <m:t>x</m:t>
            </m:r>
            <m:r>
              <m:t>t</m:t>
            </m:r>
            <m:sSub>
              <m:e>
                <m:r>
                  <m:t>C</m:t>
                </m:r>
                <m:r>
                  <m:t>O</m:t>
                </m:r>
              </m:e>
              <m:sub>
                <m:r>
                  <m:t>2</m:t>
                </m:r>
              </m:sub>
            </m:sSub>
          </m:sub>
        </m:sSub>
      </m:oMath>
      <w:r>
        <w:t xml:space="preserve"> </w:t>
      </w:r>
      <w:r>
        <w:t xml:space="preserve">Extractions</w:t>
      </w:r>
    </w:p>
    <w:bookmarkStart w:id="123" w:name="X7ad6b4b956e473f9090483e7aa7d7bca26c2a39"/>
    <w:p>
      <w:pPr>
        <w:pStyle w:val="Heading2"/>
      </w:pPr>
      <w:r>
        <w:t xml:space="preserve">8.1 A.1. Intrinsic Ionic Strength of the</w:t>
      </w:r>
      <w:r>
        <w:t xml:space="preserve"> </w:t>
      </w:r>
      <m:oMath>
        <m:sSub>
          <m:e>
            <m:r>
              <m:t>P</m:t>
            </m:r>
          </m:e>
          <m:sub>
            <m:r>
              <m:t>e</m:t>
            </m:r>
            <m:r>
              <m:t>x</m:t>
            </m:r>
            <m:r>
              <m:t>t</m:t>
            </m:r>
            <m:sSub>
              <m:e>
                <m:r>
                  <m:t>C</m:t>
                </m:r>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e</m:t>
            </m:r>
            <m:r>
              <m:t>x</m:t>
            </m:r>
            <m:r>
              <m:t>t</m:t>
            </m:r>
            <m:sSub>
              <m:e>
                <m:r>
                  <m:t>C</m:t>
                </m:r>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e</m:t>
            </m:r>
            <m:r>
              <m:t>x</m:t>
            </m:r>
            <m:r>
              <m:t>t</m:t>
            </m:r>
            <m:sSub>
              <m:e>
                <m:r>
                  <m:t>C</m:t>
                </m:r>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e</m:t>
            </m:r>
            <m:r>
              <m:t>x</m:t>
            </m:r>
            <m:r>
              <m:t>t</m:t>
            </m:r>
            <m:sSub>
              <m:e>
                <m:r>
                  <m:t>C</m:t>
                </m:r>
                <m:r>
                  <m:t>O</m:t>
                </m:r>
              </m:e>
              <m:sub>
                <m:r>
                  <m:t>2</m:t>
                </m:r>
              </m:sub>
            </m:sSub>
          </m:sub>
        </m:sSub>
      </m:oMath>
      <w:r>
        <w:t xml:space="preserve"> </w:t>
      </w:r>
      <w:r>
        <w:t xml:space="preserve">extract is primarily dictated by the dissolved soluble salts of the specific soil being analyzed.</w:t>
      </w:r>
    </w:p>
    <w:bookmarkEnd w:id="123"/>
    <w:bookmarkStart w:id="124" w:name="X8ef57afce3e26af86625f37a3880dd9c4114bfc"/>
    <w:p>
      <w:pPr>
        <w:pStyle w:val="Heading2"/>
      </w:pPr>
      <w:r>
        <w:t xml:space="preserve">8.2 A.2. Justification for the Davies Equation</w:t>
      </w:r>
    </w:p>
    <w:p>
      <w:pPr>
        <w:pStyle w:val="FirstParagraph"/>
      </w:pPr>
      <w:r>
        <w:t xml:space="preserve">Because the</w:t>
      </w:r>
      <w:r>
        <w:t xml:space="preserve"> </w:t>
      </w:r>
      <m:oMath>
        <m:sSub>
          <m:e>
            <m:r>
              <m:t>P</m:t>
            </m:r>
          </m:e>
          <m:sub>
            <m:r>
              <m:t>e</m:t>
            </m:r>
            <m:r>
              <m:t>x</m:t>
            </m:r>
            <m:r>
              <m:t>t</m:t>
            </m:r>
            <m:sSub>
              <m:e>
                <m:r>
                  <m:t>C</m:t>
                </m:r>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24"/>
    <w:bookmarkStart w:id="127" w:name="X7cfd2e40ece616de93c98fe743f64dd11c88404"/>
    <w:p>
      <w:pPr>
        <w:pStyle w:val="Heading2"/>
      </w:pPr>
      <w:r>
        <w:t xml:space="preserve">8.3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e</m:t>
            </m:r>
            <m:r>
              <m:t>x</m:t>
            </m:r>
            <m:r>
              <m:t>t</m:t>
            </m:r>
            <m:sSub>
              <m:e>
                <m:r>
                  <m:t>C</m:t>
                </m:r>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25">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26">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47" Target="media/rId47.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97" Target="https://doi.org/10.1002/jpln.200321081" TargetMode="External" /><Relationship Type="http://schemas.openxmlformats.org/officeDocument/2006/relationships/hyperlink" Id="rId89" Target="https://doi.org/10.1002/jpln.200421463" TargetMode="External" /><Relationship Type="http://schemas.openxmlformats.org/officeDocument/2006/relationships/hyperlink" Id="rId118" Target="https://doi.org/10.1016/j.agee.2022.107926" TargetMode="External" /><Relationship Type="http://schemas.openxmlformats.org/officeDocument/2006/relationships/hyperlink" Id="rId103" Target="https://doi.org/10.1016/j.scitotenv.2020.143453" TargetMode="External" /><Relationship Type="http://schemas.openxmlformats.org/officeDocument/2006/relationships/hyperlink" Id="rId99" Target="https://doi.org/10.1046/j.1365-2389.2001.00407.x" TargetMode="External" /><Relationship Type="http://schemas.openxmlformats.org/officeDocument/2006/relationships/hyperlink" Id="rId105" Target="https://doi.org/10.1111/j.1475-2743.2012.00453.x" TargetMode="External" /><Relationship Type="http://schemas.openxmlformats.org/officeDocument/2006/relationships/hyperlink" Id="rId95" Target="https://doi.org/10.2134/jeq2000.00472425002900010003x" TargetMode="External" /><Relationship Type="http://schemas.openxmlformats.org/officeDocument/2006/relationships/hyperlink" Id="rId114" Target="https://doi.org/10.32614/R.manuals" TargetMode="External" /><Relationship Type="http://schemas.openxmlformats.org/officeDocument/2006/relationships/hyperlink" Id="rId86" Target="https://github.com/lme4/lme4/" TargetMode="External" /><Relationship Type="http://schemas.openxmlformats.org/officeDocument/2006/relationships/hyperlink" Id="rId125" Target="https://github.com/ptochosgeorgos/Article-P-desorption-kinetics" TargetMode="External" /><Relationship Type="http://schemas.openxmlformats.org/officeDocument/2006/relationships/hyperlink" Id="rId126" Target="https://ptochosgeorgos.github.io/Article-P-desorption-kinetics/" TargetMode="External" /><Relationship Type="http://schemas.openxmlformats.org/officeDocument/2006/relationships/hyperlink" Id="rId112" Target="https://svn.r-project.org/R-packages/trunk/nlme/" TargetMode="External" /><Relationship Type="http://schemas.openxmlformats.org/officeDocument/2006/relationships/hyperlink" Id="rId101" Target="https://vminteq.lwr.kth.se/"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jpln.200321081" TargetMode="External" /><Relationship Type="http://schemas.openxmlformats.org/officeDocument/2006/relationships/hyperlink" Id="rId89" Target="https://doi.org/10.1002/jpln.200421463" TargetMode="External" /><Relationship Type="http://schemas.openxmlformats.org/officeDocument/2006/relationships/hyperlink" Id="rId118" Target="https://doi.org/10.1016/j.agee.2022.107926" TargetMode="External" /><Relationship Type="http://schemas.openxmlformats.org/officeDocument/2006/relationships/hyperlink" Id="rId103" Target="https://doi.org/10.1016/j.scitotenv.2020.143453" TargetMode="External" /><Relationship Type="http://schemas.openxmlformats.org/officeDocument/2006/relationships/hyperlink" Id="rId99" Target="https://doi.org/10.1046/j.1365-2389.2001.00407.x" TargetMode="External" /><Relationship Type="http://schemas.openxmlformats.org/officeDocument/2006/relationships/hyperlink" Id="rId105" Target="https://doi.org/10.1111/j.1475-2743.2012.00453.x" TargetMode="External" /><Relationship Type="http://schemas.openxmlformats.org/officeDocument/2006/relationships/hyperlink" Id="rId95" Target="https://doi.org/10.2134/jeq2000.00472425002900010003x" TargetMode="External" /><Relationship Type="http://schemas.openxmlformats.org/officeDocument/2006/relationships/hyperlink" Id="rId114" Target="https://doi.org/10.32614/R.manuals" TargetMode="External" /><Relationship Type="http://schemas.openxmlformats.org/officeDocument/2006/relationships/hyperlink" Id="rId86" Target="https://github.com/lme4/lme4/" TargetMode="External" /><Relationship Type="http://schemas.openxmlformats.org/officeDocument/2006/relationships/hyperlink" Id="rId125" Target="https://github.com/ptochosgeorgos/Article-P-desorption-kinetics" TargetMode="External" /><Relationship Type="http://schemas.openxmlformats.org/officeDocument/2006/relationships/hyperlink" Id="rId126" Target="https://ptochosgeorgos.github.io/Article-P-desorption-kinetics/" TargetMode="External" /><Relationship Type="http://schemas.openxmlformats.org/officeDocument/2006/relationships/hyperlink" Id="rId112" Target="https://svn.r-project.org/R-packages/trunk/nlme/" TargetMode="External" /><Relationship Type="http://schemas.openxmlformats.org/officeDocument/2006/relationships/hyperlink" Id="rId101" Target="https://vminteq.lwr.kth.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Phosphorus Desorption, Soil Test Phosphorus (STP), Bayesian Mixed Models, Crop Yield Predictability, STYCS</cp:keywords>
  <dcterms:created xsi:type="dcterms:W3CDTF">2026-09-20T16:25:10Z</dcterms:created>
  <dcterms:modified xsi:type="dcterms:W3CDTF">2026-09-20T16:25:10Z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Current empirical Soil Test Phosphorus (STP) methods (P_{CO_2}, P_{AAE10}) use static pools and arbitrary supply classes that ignore the physics of how soils release P over time. In this study, we evaluate… [Insert full abstract here]</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2026-09-20</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