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6.png" ContentType="image/png"/>
  <Override PartName="/word/media/rId42.png" ContentType="image/png"/>
  <Override PartName="/word/media/rId46.png" ContentType="image/png"/>
  <Override PartName="/word/media/rId31.png" ContentType="image/png"/>
  <Override PartName="/word/media/rId36.png" ContentType="image/png"/>
  <Override PartName="/word/media/rId57.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2026-03-27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5"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14"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p>
      <w:r>
        <w:br w:type="page"/>
      </w:r>
    </w:p>
    <w:bookmarkEnd w:id="14"/>
    <w:bookmarkEnd w:id="15"/>
    <w:bookmarkStart w:id="30" w:name="sec-materials-and-methods"/>
    <w:p>
      <w:pPr>
        <w:pStyle w:val="Heading1"/>
      </w:pPr>
      <w:r>
        <w:t xml:space="preserve">2. Materials and Methods</w:t>
      </w:r>
    </w:p>
    <w:bookmarkStart w:id="16"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6"/>
    <w:bookmarkStart w:id="18"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7"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7"/>
          <w:p/>
        </w:tc>
      </w:tr>
    </w:tbl>
    <w:p>
      <w:pPr>
        <w:pStyle w:val="BodyText"/>
      </w:pPr>
      <w:r>
        <w:t xml:space="preserve">Soil samples for this thesis were collected in the year 2022 from the topsoil layer (0-20 cm).</w:t>
      </w:r>
    </w:p>
    <w:bookmarkEnd w:id="18"/>
    <w:bookmarkStart w:id="21" w:name="sec-phosphorus-desorption-kinetics"/>
    <w:p>
      <w:pPr>
        <w:pStyle w:val="Heading2"/>
      </w:pPr>
      <w:r>
        <w:t xml:space="preserve">2.3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9" w:name="original-method-of-flossmann-and-richter"/>
    <w:p>
      <w:pPr>
        <w:pStyle w:val="Heading3"/>
      </w:pPr>
      <w:r>
        <w:t xml:space="preserve">2.3.1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3"/>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3"/>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3"/>
        </w:numPr>
      </w:pPr>
      <w:r>
        <w:rPr>
          <w:b/>
          <w:bCs/>
        </w:rPr>
        <w:t xml:space="preserve">Analysis</w:t>
      </w:r>
      <w:r>
        <w:t xml:space="preserve">: The P concentration in the subsamples is determined colorimetrically.</w:t>
      </w:r>
    </w:p>
    <w:bookmarkEnd w:id="19"/>
    <w:bookmarkStart w:id="20" w:name="Xbd6c1e5704c75ae9a98b5e8f17a138b0c980a04"/>
    <w:p>
      <w:pPr>
        <w:pStyle w:val="Heading3"/>
      </w:pPr>
      <w:r>
        <w:t xml:space="preserve">2.3.2 Adapted Kinetic Protocol for This Study</w:t>
      </w:r>
    </w:p>
    <w:p>
      <w:pPr>
        <w:pStyle w:val="FirstParagraph"/>
      </w:pPr>
      <w:r>
        <w:t xml:space="preserve">For this thesis, the original method was modified to capture the desorption process with a higher temporal resolution.</w:t>
      </w:r>
    </w:p>
    <w:p>
      <w:pPr>
        <w:numPr>
          <w:ilvl w:val="0"/>
          <w:numId w:val="1004"/>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4"/>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4"/>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20"/>
    <w:bookmarkEnd w:id="21"/>
    <w:bookmarkStart w:id="29" w:name="sec-statistical-analysis"/>
    <w:p>
      <w:pPr>
        <w:pStyle w:val="Heading2"/>
      </w:pPr>
      <w:r>
        <w:t xml:space="preserve">2.4 Statistical Analysis</w:t>
      </w:r>
    </w:p>
    <w:bookmarkStart w:id="22" w:name="software-and-statistical-environment"/>
    <w:p>
      <w:pPr>
        <w:pStyle w:val="Heading3"/>
      </w:pPr>
      <w:r>
        <w:t xml:space="preserve">2.4.1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22"/>
    <w:bookmarkStart w:id="23" w:name="sec-modeling-of-desorption-kinetics"/>
    <w:p>
      <w:pPr>
        <w:pStyle w:val="Heading3"/>
      </w:pPr>
      <w:r>
        <w:t xml:space="preserve">2.4.2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23"/>
    <w:bookmarkStart w:id="25" w:name="X7948ef6b44c07ffe5eee7eadbac8c6481287b2f"/>
    <w:p>
      <w:pPr>
        <w:pStyle w:val="Heading3"/>
      </w:pPr>
      <w:r>
        <w:t xml:space="preserve">2.4.3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4" w:name="tbl-variables"/>
          <w:p>
            <w:pPr>
              <w:jc w:val="center"/>
            </w:pPr>
            <w:pPr>
              <w:jc w:val="left"/>
              <w:spacing w:before="200"/>
              <w:pStyle w:val="ImageCaption"/>
            </w:pPr>
            <w:r>
              <w:t xml:space="preserve">Table 3: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24"/>
          <w:p/>
        </w:tc>
      </w:tr>
    </w:tbl>
    <w:bookmarkEnd w:id="25"/>
    <w:bookmarkStart w:id="28" w:name="model-assumptions-and-diagnostics"/>
    <w:p>
      <w:pPr>
        <w:pStyle w:val="Heading3"/>
      </w:pPr>
      <w:r>
        <w:t xml:space="preserve">2.4.4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26" w:name="Xa8a482f2a6a3ad912fccf7e6dc90aeedf0c36d0"/>
    <w:p>
      <w:pPr>
        <w:pStyle w:val="Heading4"/>
      </w:pPr>
      <w:r>
        <w:t xml:space="preserve">2.4.4.1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5"/>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5"/>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26"/>
    <w:bookmarkStart w:id="27" w:name="comparative-models-of-agronomic-outcomes"/>
    <w:p>
      <w:pPr>
        <w:pStyle w:val="Heading4"/>
      </w:pPr>
      <w:r>
        <w:t xml:space="preserve">2.4.4.2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6"/>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6"/>
        </w:numPr>
      </w:pPr>
      <w:r>
        <w:rPr>
          <w:b/>
          <w:bCs/>
        </w:rPr>
        <w:t xml:space="preserve">Model 1: The Kinetic Approach</w:t>
      </w:r>
    </w:p>
    <w:p>
      <w:pPr>
        <w:pStyle w:val="Compact"/>
        <w:numPr>
          <w:ilvl w:val="1"/>
          <w:numId w:val="1007"/>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6"/>
        </w:numPr>
      </w:pPr>
      <w:r>
        <w:rPr>
          <w:b/>
          <w:bCs/>
        </w:rPr>
        <w:t xml:space="preserve">Model 2: The Standard STP (GRUD) Approach</w:t>
      </w:r>
    </w:p>
    <w:p>
      <w:pPr>
        <w:pStyle w:val="Compact"/>
        <w:numPr>
          <w:ilvl w:val="1"/>
          <w:numId w:val="1008"/>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p>
      <w:r>
        <w:br w:type="page"/>
      </w:r>
    </w:p>
    <w:bookmarkEnd w:id="27"/>
    <w:bookmarkEnd w:id="28"/>
    <w:bookmarkEnd w:id="29"/>
    <w:bookmarkEnd w:id="30"/>
    <w:bookmarkStart w:id="84"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41"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5"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4" w:name="fig-linearized-model"/>
          <w:p>
            <w:pPr>
              <w:pStyle w:val="Compact"/>
              <w:jc w:val="center"/>
            </w:pPr>
            <w:r>
              <w:drawing>
                <wp:inline>
                  <wp:extent cx="4620126" cy="4620126"/>
                  <wp:effectExtent b="0" l="0" r="0" t="0"/>
                  <wp:docPr descr="" title="" id="32" name="Picture"/>
                  <a:graphic>
                    <a:graphicData uri="http://schemas.openxmlformats.org/drawingml/2006/picture">
                      <pic:pic>
                        <pic:nvPicPr>
                          <pic:cNvPr descr="index_files/figure-docx/fig-linearized-model-1.png" id="33" name="Picture"/>
                          <pic:cNvPicPr>
                            <a:picLocks noChangeArrowheads="1" noChangeAspect="1"/>
                          </pic:cNvPicPr>
                        </pic:nvPicPr>
                        <pic:blipFill>
                          <a:blip r:embed="rId3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4"/>
        </w:tc>
      </w:tr>
    </w:tbl>
    <w:bookmarkEnd w:id="35"/>
    <w:bookmarkStart w:id="40"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9" w:name="fig-nonlinear-model"/>
          <w:p>
            <w:pPr>
              <w:pStyle w:val="Compact"/>
              <w:jc w:val="center"/>
            </w:pPr>
            <w:r>
              <w:drawing>
                <wp:inline>
                  <wp:extent cx="4620126" cy="5544151"/>
                  <wp:effectExtent b="0" l="0" r="0" t="0"/>
                  <wp:docPr descr="" title="" id="37" name="Picture"/>
                  <a:graphic>
                    <a:graphicData uri="http://schemas.openxmlformats.org/drawingml/2006/picture">
                      <pic:pic>
                        <pic:nvPicPr>
                          <pic:cNvPr descr="index_files/figure-docx/fig-nonlinear-model-1.png" id="38" name="Picture"/>
                          <pic:cNvPicPr>
                            <a:picLocks noChangeArrowheads="1" noChangeAspect="1"/>
                          </pic:cNvPicPr>
                        </pic:nvPicPr>
                        <pic:blipFill>
                          <a:blip r:embed="rId36"/>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9"/>
        </w:tc>
      </w:tr>
    </w:tbl>
    <w:bookmarkEnd w:id="40"/>
    <w:bookmarkEnd w:id="41"/>
    <w:bookmarkStart w:id="51"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50"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5" w:name="fig-iek-comparison-1"/>
                <w:p>
                  <w:pPr>
                    <w:pStyle w:val="Compact"/>
                    <w:jc w:val="center"/>
                    <w:jc w:val="left"/>
                  </w:pPr>
                  <w:r>
                    <w:drawing>
                      <wp:inline>
                        <wp:extent cx="2971800" cy="2377440"/>
                        <wp:effectExtent b="0" l="0" r="0" t="0"/>
                        <wp:docPr descr="" title="" id="43" name="Picture"/>
                        <a:graphic>
                          <a:graphicData uri="http://schemas.openxmlformats.org/drawingml/2006/picture">
                            <pic:pic>
                              <pic:nvPicPr>
                                <pic:cNvPr descr="index_files/figure-docx/fig-iek-comparison-1.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5"/>
              </w:tc>
            </w:tr>
          </w:tbl>
          <w:p/>
        </w:tc>
        <w:tc>
          <w:tcPr/>
          <w:tbl>
            <w:tblPr>
              <w:tblStyle w:val="Table"/>
              <w:tblW w:type="pct" w:w="4900"/>
              <w:tblLayout w:type="fixed"/>
              <w:tblLook w:firstRow="0" w:lastRow="0" w:firstColumn="0" w:lastColumn="0" w:noHBand="0" w:noVBand="0" w:val="0000"/>
            </w:tblPr>
            <w:tblGrid>
              <w:gridCol w:w="7761"/>
            </w:tblGrid>
            <w:tr>
              <w:tc>
                <w:tcPr/>
                <w:bookmarkStart w:id="49" w:name="fig-iek-comparison-2"/>
                <w:p>
                  <w:pPr>
                    <w:pStyle w:val="Compact"/>
                    <w:jc w:val="center"/>
                    <w:jc w:val="left"/>
                  </w:pPr>
                  <w:r>
                    <w:drawing>
                      <wp:inline>
                        <wp:extent cx="2971800" cy="2377440"/>
                        <wp:effectExtent b="0" l="0" r="0" t="0"/>
                        <wp:docPr descr="" title="" id="47" name="Picture"/>
                        <a:graphic>
                          <a:graphicData uri="http://schemas.openxmlformats.org/drawingml/2006/picture">
                            <pic:pic>
                              <pic:nvPicPr>
                                <pic:cNvPr descr="index_files/figure-docx/fig-iek-comparison-2.png" id="48" name="Picture"/>
                                <pic:cNvPicPr>
                                  <a:picLocks noChangeArrowheads="1" noChangeAspect="1"/>
                                </pic:cNvPicPr>
                              </pic:nvPicPr>
                              <pic:blipFill>
                                <a:blip r:embed="rId46"/>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9"/>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50"/>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51"/>
    <w:bookmarkStart w:id="62"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6"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agronomic-responses"/>
          <w:p>
            <w:pPr>
              <w:pStyle w:val="Compact"/>
              <w:jc w:val="center"/>
            </w:pPr>
            <w:r>
              <w:drawing>
                <wp:inline>
                  <wp:extent cx="4620126" cy="6468176"/>
                  <wp:effectExtent b="0" l="0" r="0" t="0"/>
                  <wp:docPr descr="" title="" id="53" name="Picture"/>
                  <a:graphic>
                    <a:graphicData uri="http://schemas.openxmlformats.org/drawingml/2006/picture">
                      <pic:pic>
                        <pic:nvPicPr>
                          <pic:cNvPr descr="index_files/figure-docx/fig-agronomic-responses-1.png" id="54" name="Picture"/>
                          <pic:cNvPicPr>
                            <a:picLocks noChangeArrowheads="1" noChangeAspect="1"/>
                          </pic:cNvPicPr>
                        </pic:nvPicPr>
                        <pic:blipFill>
                          <a:blip r:embed="rId5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5"/>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6"/>
    <w:bookmarkStart w:id="61"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soil-parameters"/>
          <w:p>
            <w:pPr>
              <w:pStyle w:val="Compact"/>
              <w:jc w:val="center"/>
            </w:pPr>
            <w:r>
              <w:drawing>
                <wp:inline>
                  <wp:extent cx="4620126" cy="6468176"/>
                  <wp:effectExtent b="0" l="0" r="0" t="0"/>
                  <wp:docPr descr="" title="" id="58" name="Picture"/>
                  <a:graphic>
                    <a:graphicData uri="http://schemas.openxmlformats.org/drawingml/2006/picture">
                      <pic:pic>
                        <pic:nvPicPr>
                          <pic:cNvPr descr="index_files/figure-docx/fig-soil-parameters-1.png" id="59" name="Picture"/>
                          <pic:cNvPicPr>
                            <a:picLocks noChangeArrowheads="1" noChangeAspect="1"/>
                          </pic:cNvPicPr>
                        </pic:nvPicPr>
                        <pic:blipFill>
                          <a:blip r:embed="rId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60"/>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61"/>
    <w:bookmarkEnd w:id="62"/>
    <w:bookmarkStart w:id="64"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oil-prop-models"/>
          <w:p>
            <w:pPr>
              <w:jc w:val="center"/>
            </w:pPr>
            <w:pPr>
              <w:jc w:val="left"/>
              <w:spacing w:before="200"/>
              <w:pStyle w:val="ImageCaption"/>
            </w:pPr>
            <w:r>
              <w:t xml:space="preserve">Table 4: Results of linear mixed-effects models predicting P parameters from intrinsic soil properties</w:t>
            </w:r>
            <w:r>
              <w:t xml:space="preserve"> </w:t>
            </w:r>
            <w:hyperlink w:anchor="tbl-variables">
              <w:r>
                <w:rPr>
                  <w:rStyle w:val="Hyperlink"/>
                </w:rPr>
                <w:t xml:space="preserve">Table 3</w:t>
              </w:r>
            </w:hyperlink>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3"/>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4"/>
    <w:bookmarkStart w:id="83"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3"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8" w:name="fig-yield-comparison"/>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yield-comparis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yield-cadenazzo-fix"/>
          <w:p>
            <w:pPr>
              <w:pStyle w:val="Compact"/>
              <w:jc w:val="center"/>
            </w:pPr>
            <w:r>
              <w:drawing>
                <wp:inline>
                  <wp:extent cx="4620126" cy="3696101"/>
                  <wp:effectExtent b="0" l="0" r="0" t="0"/>
                  <wp:docPr descr="" title="" id="70" name="Picture"/>
                  <a:graphic>
                    <a:graphicData uri="http://schemas.openxmlformats.org/drawingml/2006/picture">
                      <pic:pic>
                        <pic:nvPicPr>
                          <pic:cNvPr descr="index_files/figure-docx/fig-yield-cadenazzo-fix-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2"/>
        </w:tc>
      </w:tr>
    </w:tbl>
    <w:bookmarkEnd w:id="73"/>
    <w:bookmarkStart w:id="75"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tbl-ynorm-models"/>
          <w:p>
            <w:pPr>
              <w:jc w:val="center"/>
            </w:pPr>
            <w:pPr>
              <w:jc w:val="left"/>
              <w:spacing w:before="200"/>
              <w:pStyle w:val="ImageCaption"/>
            </w:pPr>
            <w:r>
              <w:t xml:space="preserve">Table 5: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4"/>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5"/>
    <w:bookmarkStart w:id="78"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6" w:name="tbl-yrel-models"/>
          <w:p>
            <w:pPr>
              <w:jc w:val="center"/>
            </w:pPr>
            <w:pPr>
              <w:jc w:val="left"/>
              <w:spacing w:before="200"/>
              <w:pStyle w:val="ImageCaption"/>
            </w:pPr>
            <w:r>
              <w:t xml:space="preserve">Table 6: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6"/>
          <w:p/>
        </w:tc>
      </w:tr>
    </w:tbl>
    <w:bookmarkStart w:id="77"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7"/>
    <w:bookmarkEnd w:id="78"/>
    <w:bookmarkStart w:id="80"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9" w:name="tbl-pexport-models"/>
          <w:p>
            <w:pPr>
              <w:jc w:val="center"/>
            </w:pPr>
            <w:pPr>
              <w:jc w:val="left"/>
              <w:spacing w:before="200"/>
              <w:pStyle w:val="ImageCaption"/>
            </w:pPr>
            <w:r>
              <w:t xml:space="preserve">Table 7: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9"/>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80"/>
    <w:bookmarkStart w:id="82"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81" w:name="tbl-pbalance-models"/>
          <w:p>
            <w:pPr>
              <w:jc w:val="center"/>
            </w:pPr>
            <w:pPr>
              <w:jc w:val="left"/>
              <w:spacing w:before="200"/>
              <w:pStyle w:val="ImageCaption"/>
            </w:pPr>
            <w:r>
              <w:t xml:space="preserve">Table 8: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81"/>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2"/>
    <w:bookmarkEnd w:id="83"/>
    <w:bookmarkEnd w:id="84"/>
    <w:bookmarkStart w:id="93"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5"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9"/>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9"/>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5"/>
    <w:bookmarkStart w:id="90"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9" w:name="fig-ell-outlier-check-dual-axis"/>
          <w:p>
            <w:pPr>
              <w:pStyle w:val="Compact"/>
              <w:jc w:val="center"/>
            </w:pPr>
            <w:r>
              <w:drawing>
                <wp:inline>
                  <wp:extent cx="4620126" cy="3696101"/>
                  <wp:effectExtent b="0" l="0" r="0" t="0"/>
                  <wp:docPr descr="" title="" id="87" name="Picture"/>
                  <a:graphic>
                    <a:graphicData uri="http://schemas.openxmlformats.org/drawingml/2006/picture">
                      <pic:pic>
                        <pic:nvPicPr>
                          <pic:cNvPr descr="index_files/figure-docx/fig-ell-outlier-check-dual-axis-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9"/>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90"/>
    <w:bookmarkStart w:id="92"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91"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91"/>
    <w:bookmarkEnd w:id="92"/>
    <w:bookmarkEnd w:id="93"/>
    <w:bookmarkStart w:id="94"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4"/>
    <w:bookmarkStart w:id="139" w:name="references"/>
    <w:p>
      <w:pPr>
        <w:pStyle w:val="Heading1"/>
      </w:pPr>
      <w:r>
        <w:t xml:space="preserve">6. References</w:t>
      </w:r>
    </w:p>
    <w:bookmarkStart w:id="138" w:name="refs"/>
    <w:bookmarkStart w:id="9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5">
        <w:r>
          <w:rPr>
            <w:rStyle w:val="Hyperlink"/>
          </w:rPr>
          <w:t xml:space="preserve">https://doi.org/10.18637/jss.v067.i01</w:t>
        </w:r>
      </w:hyperlink>
    </w:p>
    <w:bookmarkEnd w:id="96"/>
    <w:bookmarkStart w:id="9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7"/>
    <w:bookmarkStart w:id="99"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8">
        <w:r>
          <w:rPr>
            <w:rStyle w:val="Hyperlink"/>
          </w:rPr>
          <w:t xml:space="preserve">https://doi.org/10.1080/00103624.2013.741896</w:t>
        </w:r>
      </w:hyperlink>
    </w:p>
    <w:bookmarkEnd w:id="99"/>
    <w:bookmarkStart w:id="100" w:name="ref-Fisher1925"/>
    <w:p>
      <w:pPr>
        <w:pStyle w:val="Bibliography"/>
      </w:pPr>
      <w:r>
        <w:t xml:space="preserve">Fisher, R. A. (1925).</w:t>
      </w:r>
      <w:r>
        <w:t xml:space="preserve"> </w:t>
      </w:r>
      <w:r>
        <w:rPr>
          <w:i/>
          <w:iCs/>
        </w:rPr>
        <w:t xml:space="preserve">Statistical methods for research workers</w:t>
      </w:r>
      <w:r>
        <w:t xml:space="preserve">. Oliver; Boyd.</w:t>
      </w:r>
    </w:p>
    <w:bookmarkEnd w:id="100"/>
    <w:bookmarkStart w:id="102"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01">
        <w:r>
          <w:rPr>
            <w:rStyle w:val="Hyperlink"/>
          </w:rPr>
          <w:t xml:space="preserve">https://doi.org/10.2136/sssabookser3.2ed.c11</w:t>
        </w:r>
      </w:hyperlink>
    </w:p>
    <w:bookmarkEnd w:id="102"/>
    <w:bookmarkStart w:id="103"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3"/>
    <w:bookmarkStart w:id="104"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4"/>
    <w:bookmarkStart w:id="10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5">
        <w:r>
          <w:rPr>
            <w:rStyle w:val="Hyperlink"/>
          </w:rPr>
          <w:t xml:space="preserve">https://doi.org/10.2134/jeq2000.00472425002900010003x</w:t>
        </w:r>
      </w:hyperlink>
    </w:p>
    <w:bookmarkEnd w:id="106"/>
    <w:bookmarkStart w:id="108"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7">
        <w:r>
          <w:rPr>
            <w:rStyle w:val="Hyperlink"/>
          </w:rPr>
          <w:t xml:space="preserve">https://doi.org/10.1007/s13280-017-0987-9</w:t>
        </w:r>
      </w:hyperlink>
    </w:p>
    <w:bookmarkEnd w:id="108"/>
    <w:bookmarkStart w:id="11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9">
        <w:r>
          <w:rPr>
            <w:rStyle w:val="Hyperlink"/>
          </w:rPr>
          <w:t xml:space="preserve">https://doi.org/10.1016/j.scitotenv.2020.143453</w:t>
        </w:r>
      </w:hyperlink>
    </w:p>
    <w:bookmarkEnd w:id="110"/>
    <w:bookmarkStart w:id="11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11">
        <w:r>
          <w:rPr>
            <w:rStyle w:val="Hyperlink"/>
          </w:rPr>
          <w:t xml:space="preserve">https://doi.org/10.1016/j.agee.2020.107270</w:t>
        </w:r>
      </w:hyperlink>
    </w:p>
    <w:bookmarkEnd w:id="112"/>
    <w:bookmarkStart w:id="11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13">
        <w:r>
          <w:rPr>
            <w:rStyle w:val="Hyperlink"/>
          </w:rPr>
          <w:t xml:space="preserve">https://doi.org/10.1007/s11368-012-0498-8</w:t>
        </w:r>
      </w:hyperlink>
    </w:p>
    <w:bookmarkEnd w:id="114"/>
    <w:bookmarkStart w:id="116"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15">
        <w:r>
          <w:rPr>
            <w:rStyle w:val="Hyperlink"/>
          </w:rPr>
          <w:t xml:space="preserve">https://doi.org/10.18637/jss.v082.i13</w:t>
        </w:r>
      </w:hyperlink>
    </w:p>
    <w:bookmarkEnd w:id="116"/>
    <w:bookmarkStart w:id="118"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117">
        <w:r>
          <w:rPr>
            <w:rStyle w:val="Hyperlink"/>
          </w:rPr>
          <w:t xml:space="preserve">https://doi.org/10.21105/joss.01903</w:t>
        </w:r>
      </w:hyperlink>
    </w:p>
    <w:bookmarkEnd w:id="118"/>
    <w:bookmarkStart w:id="119"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119"/>
    <w:bookmarkStart w:id="12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20"/>
    <w:bookmarkStart w:id="12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21">
        <w:r>
          <w:rPr>
            <w:rStyle w:val="Hyperlink"/>
          </w:rPr>
          <w:t xml:space="preserve">https://CRAN.R-project.org/package=nlme</w:t>
        </w:r>
      </w:hyperlink>
    </w:p>
    <w:bookmarkEnd w:id="122"/>
    <w:bookmarkStart w:id="12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p>
    <w:bookmarkEnd w:id="124"/>
    <w:bookmarkStart w:id="126"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25">
        <w:r>
          <w:rPr>
            <w:rStyle w:val="Hyperlink"/>
          </w:rPr>
          <w:t xml:space="preserve">https://doi.org/10.1007/s10705-015-9726-1</w:t>
        </w:r>
      </w:hyperlink>
    </w:p>
    <w:bookmarkEnd w:id="126"/>
    <w:bookmarkStart w:id="128"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27">
        <w:r>
          <w:rPr>
            <w:rStyle w:val="Hyperlink"/>
          </w:rPr>
          <w:t xml:space="preserve">https://doi.org/10.1051/agro:2002018</w:t>
        </w:r>
      </w:hyperlink>
    </w:p>
    <w:bookmarkEnd w:id="128"/>
    <w:bookmarkStart w:id="129"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9"/>
    <w:bookmarkStart w:id="131"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30">
        <w:r>
          <w:rPr>
            <w:rStyle w:val="Hyperlink"/>
          </w:rPr>
          <w:t xml:space="preserve">https://doi.org/10.2135/cropsci1998.0011183X003800030002x</w:t>
        </w:r>
      </w:hyperlink>
    </w:p>
    <w:bookmarkEnd w:id="131"/>
    <w:bookmarkStart w:id="133"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32">
        <w:r>
          <w:rPr>
            <w:rStyle w:val="Hyperlink"/>
          </w:rPr>
          <w:t xml:space="preserve">https://doi.org/10.1016/B978-0-12-656446-4.50001-X</w:t>
        </w:r>
      </w:hyperlink>
    </w:p>
    <w:bookmarkEnd w:id="133"/>
    <w:bookmarkStart w:id="134"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34"/>
    <w:bookmarkStart w:id="136"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35">
        <w:r>
          <w:rPr>
            <w:rStyle w:val="Hyperlink"/>
          </w:rPr>
          <w:t xml:space="preserve">https://doi.org/10.2134/agronj2002.2830</w:t>
        </w:r>
      </w:hyperlink>
    </w:p>
    <w:bookmarkEnd w:id="136"/>
    <w:bookmarkStart w:id="137"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7"/>
    <w:bookmarkEnd w:id="138"/>
    <w:p>
      <w:r>
        <w:br w:type="page"/>
      </w:r>
    </w:p>
    <w:p>
      <w:r>
        <w:br w:type="page"/>
      </w:r>
    </w:p>
    <w:bookmarkEnd w:id="139"/>
    <w:bookmarkStart w:id="145" w:name="Xc02b1095fe035d2f218bf14431ef63629f299b5"/>
    <w:p>
      <w:pPr>
        <w:pStyle w:val="Heading1"/>
      </w:pPr>
      <w:r>
        <w:t xml:space="preserve">7. Appendix: Thermodynamic Correction of</w:t>
      </w:r>
      <w:r>
        <w:t xml:space="preserve"> </w:t>
      </w:r>
      <m:oMath>
        <m:sSub>
          <m:e>
            <m:r>
              <m:t>P</m:t>
            </m:r>
          </m:e>
          <m:sub>
            <m:r>
              <m:t>C</m:t>
            </m:r>
            <m:sSub>
              <m:e>
                <m:r>
                  <m:t>O</m:t>
                </m:r>
              </m:e>
              <m:sub>
                <m:r>
                  <m:t>2</m:t>
                </m:r>
              </m:sub>
            </m:sSub>
          </m:sub>
        </m:sSub>
      </m:oMath>
      <w:r>
        <w:t xml:space="preserve"> </w:t>
      </w:r>
      <w:r>
        <w:t xml:space="preserve">Extractions</w:t>
      </w:r>
    </w:p>
    <w:bookmarkStart w:id="140" w:name="Xdd52081602f5faa9508128f35f776531d43bf68"/>
    <w:p>
      <w:pPr>
        <w:pStyle w:val="Heading2"/>
      </w:pPr>
      <w:r>
        <w:t xml:space="preserve">7.1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140"/>
    <w:bookmarkStart w:id="141" w:name="X8ef57afce3e26af86625f37a3880dd9c4114bfc"/>
    <w:p>
      <w:pPr>
        <w:pStyle w:val="Heading2"/>
      </w:pPr>
      <w:r>
        <w:t xml:space="preserve">7.2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41"/>
    <w:bookmarkStart w:id="144" w:name="X7cfd2e40ece616de93c98fe743f64dd11c88404"/>
    <w:p>
      <w:pPr>
        <w:pStyle w:val="Heading2"/>
      </w:pPr>
      <w:r>
        <w:t xml:space="preserve">7.3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10"/>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10"/>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10"/>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42">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43">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86" Target="media/rId8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121" Target="https://CRAN.R-project.org/package=nlme"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2" Target="https://github.com/ptochosgeorgos/Article-P-desorption-kinetics" TargetMode="External" /><Relationship Type="http://schemas.openxmlformats.org/officeDocument/2006/relationships/hyperlink" Id="rId143" Target="https://ptochosgeorgos.github.io/Article-P-desorption-kinetics/" TargetMode="External" /><Relationship Type="http://schemas.openxmlformats.org/officeDocument/2006/relationships/hyperlink" Id="rId12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1" Target="https://CRAN.R-project.org/package=nlme"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2" Target="https://github.com/ptochosgeorgos/Article-P-desorption-kinetics" TargetMode="External" /><Relationship Type="http://schemas.openxmlformats.org/officeDocument/2006/relationships/hyperlink" Id="rId143" Target="https://ptochosgeorgos.github.io/Article-P-desorption-kinetics/" TargetMode="External" /><Relationship Type="http://schemas.openxmlformats.org/officeDocument/2006/relationships/hyperlink" Id="rId12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2026-03-27T15:26:45Z</dcterms:created>
  <dcterms:modified xsi:type="dcterms:W3CDTF">2026-03-27T15:26:45Z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2026-03-27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