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sec-materials-and-methods"/>
    <w:p>
      <w:pPr>
        <w:pStyle w:val="Heading1"/>
      </w:pPr>
      <w:r>
        <w:t xml:space="preserve">1. Materials and Methods</w:t>
      </w:r>
    </w:p>
    <w:bookmarkStart w:id="9" w:name="X2a96c2427ceb6b998508f67b3ec6e8131f2af39"/>
    <w:p>
      <w:pPr>
        <w:pStyle w:val="Heading2"/>
      </w:pPr>
      <w:r>
        <w:t xml:space="preserve">1.1 The Long-Term Phosphorus Fertilization Experiment</w:t>
      </w:r>
    </w:p>
    <w:p>
      <w:pPr>
        <w:pStyle w:val="FirstParagraph"/>
      </w:pPr>
      <w:r>
        <w:t xml:space="preserve">The soil samples for this thesis originate from a set of six long-term field trials in Switzerland, established by Agroscope between 1989 and 1992. The primary objective of these experiments was to validate and re-evaluate Swiss phosphorus (P) fertilization guidelines by assessing long-term crop yield responses to varying P inputs across different pedoclimatic conditions. A detailed description of the experimental design and site characteristics can be found in</w:t>
      </w:r>
      <w:r>
        <w:t xml:space="preserve"> </w:t>
      </w:r>
      <w:r>
        <w:t xml:space="preserve">Hirte et al. (2021)</w:t>
      </w:r>
      <w:r>
        <w:t xml:space="preserve">.</w:t>
      </w:r>
    </w:p>
    <w:p>
      <w:pPr>
        <w:pStyle w:val="BodyText"/>
      </w:pPr>
      <w:r>
        <w:t xml:space="preserve">The experiment was set up as a</w:t>
      </w:r>
      <w:r>
        <w:t xml:space="preserve"> </w:t>
      </w:r>
      <w:r>
        <w:rPr>
          <w:b/>
          <w:bCs/>
        </w:rPr>
        <w:t xml:space="preserve">completely randomized block design</w:t>
      </w:r>
      <w:r>
        <w:t xml:space="preserve"> </w:t>
      </w:r>
      <w:r>
        <w:t xml:space="preserve">with four field replications at each site. The core of the experiment consists of six fixed-plot treatments representing different P fertilization levels, which were applied annually as superphosphate before tillage and sowing. These levels were based on percentages of the officially recommended P inputs: 0% (Zero), 33% (Deficit), 67% (Reduced), 100% (Norm), 133% (Elevated), and 167% (Surplus).</w:t>
      </w:r>
    </w:p>
    <w:bookmarkEnd w:id="9"/>
    <w:bookmarkStart w:id="11" w:name="sec-experimental-sites"/>
    <w:p>
      <w:pPr>
        <w:pStyle w:val="Heading2"/>
      </w:pPr>
      <w:r>
        <w:t xml:space="preserve">1.2 Experimental Sites</w:t>
      </w:r>
    </w:p>
    <w:p>
      <w:pPr>
        <w:pStyle w:val="FirstParagraph"/>
      </w:pPr>
      <w:r>
        <w:t xml:space="preserve">The six experimental sites are located in the main crop-growing regions of Switzerland:</w:t>
      </w:r>
      <w:r>
        <w:t xml:space="preserve"> </w:t>
      </w:r>
      <w:r>
        <w:rPr>
          <w:b/>
          <w:bCs/>
        </w:rPr>
        <w:t xml:space="preserve">Rümlang-Altwi (ALT)</w:t>
      </w:r>
      <w:r>
        <w:t xml:space="preserve">,</w:t>
      </w:r>
      <w:r>
        <w:t xml:space="preserve"> </w:t>
      </w:r>
      <w:r>
        <w:rPr>
          <w:b/>
          <w:bCs/>
        </w:rPr>
        <w:t xml:space="preserve">Cadenazzo (CAD)</w:t>
      </w:r>
      <w:r>
        <w:t xml:space="preserve">,</w:t>
      </w:r>
      <w:r>
        <w:t xml:space="preserve"> </w:t>
      </w:r>
      <w:r>
        <w:rPr>
          <w:b/>
          <w:bCs/>
        </w:rPr>
        <w:t xml:space="preserve">Ellighausen (ELL)</w:t>
      </w:r>
      <w:r>
        <w:t xml:space="preserve">,</w:t>
      </w:r>
      <w:r>
        <w:t xml:space="preserve"> </w:t>
      </w:r>
      <w:r>
        <w:rPr>
          <w:b/>
          <w:bCs/>
        </w:rPr>
        <w:t xml:space="preserve">Grabs (GRA)</w:t>
      </w:r>
      <w:r>
        <w:t xml:space="preserve">,</w:t>
      </w:r>
      <w:r>
        <w:t xml:space="preserve"> </w:t>
      </w:r>
      <w:r>
        <w:rPr>
          <w:b/>
          <w:bCs/>
        </w:rPr>
        <w:t xml:space="preserve">Oensingen (OEN)</w:t>
      </w:r>
      <w:r>
        <w:t xml:space="preserve">, and</w:t>
      </w:r>
      <w:r>
        <w:t xml:space="preserve"> </w:t>
      </w:r>
      <w:r>
        <w:rPr>
          <w:b/>
          <w:bCs/>
        </w:rPr>
        <w:t xml:space="preserve">Zurich-Reckenholz (REC)</w:t>
      </w:r>
      <w:r>
        <w:t xml:space="preserve">. The key soil properties are summarized below.</w:t>
      </w:r>
    </w:p>
    <w:p>
      <w:pPr>
        <w:pStyle w:val="SourceCode"/>
      </w:pPr>
      <w:r>
        <w:rPr>
          <w:rStyle w:val="NormalTok"/>
        </w:rPr>
        <w:t xml:space="preserve">sites_df_corrected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Site =</w:t>
      </w:r>
      <w:r>
        <w:rPr>
          <w:rStyle w:val="NormalTok"/>
        </w:rPr>
        <w:t xml:space="preserve"> </w:t>
      </w:r>
      <w:r>
        <w:rPr>
          <w:rStyle w:val="FunctionTok"/>
        </w:rPr>
        <w:t xml:space="preserve">c</w:t>
      </w:r>
      <w:r>
        <w:rPr>
          <w:rStyle w:val="NormalTok"/>
        </w:rPr>
        <w:t xml:space="preserve">(</w:t>
      </w:r>
      <w:r>
        <w:rPr>
          <w:rStyle w:val="StringTok"/>
        </w:rPr>
        <w:t xml:space="preserve">"ALT"</w:t>
      </w:r>
      <w:r>
        <w:rPr>
          <w:rStyle w:val="NormalTok"/>
        </w:rPr>
        <w:t xml:space="preserve">, </w:t>
      </w:r>
      <w:r>
        <w:rPr>
          <w:rStyle w:val="StringTok"/>
        </w:rPr>
        <w:t xml:space="preserve">"CAD"</w:t>
      </w:r>
      <w:r>
        <w:rPr>
          <w:rStyle w:val="NormalTok"/>
        </w:rPr>
        <w:t xml:space="preserve">, </w:t>
      </w:r>
      <w:r>
        <w:rPr>
          <w:rStyle w:val="StringTok"/>
        </w:rPr>
        <w:t xml:space="preserve">"ELL"</w:t>
      </w:r>
      <w:r>
        <w:rPr>
          <w:rStyle w:val="NormalTok"/>
        </w:rPr>
        <w:t xml:space="preserve">, </w:t>
      </w:r>
      <w:r>
        <w:rPr>
          <w:rStyle w:val="StringTok"/>
        </w:rPr>
        <w:t xml:space="preserve">"GRA"</w:t>
      </w:r>
      <w:r>
        <w:rPr>
          <w:rStyle w:val="NormalTok"/>
        </w:rPr>
        <w:t xml:space="preserve">, </w:t>
      </w:r>
      <w:r>
        <w:rPr>
          <w:rStyle w:val="StringTok"/>
        </w:rPr>
        <w:t xml:space="preserve">"OEN"</w:t>
      </w:r>
      <w:r>
        <w:rPr>
          <w:rStyle w:val="NormalTok"/>
        </w:rPr>
        <w:t xml:space="preserve">, </w:t>
      </w:r>
      <w:r>
        <w:rPr>
          <w:rStyle w:val="StringTok"/>
        </w:rPr>
        <w:t xml:space="preserve">"REC"</w:t>
      </w:r>
      <w:r>
        <w:rPr>
          <w:rStyle w:val="NormalTok"/>
        </w:rPr>
        <w:t xml:space="preserve">),</w:t>
      </w:r>
      <w:r>
        <w:br/>
      </w:r>
      <w:r>
        <w:rPr>
          <w:rStyle w:val="NormalTok"/>
        </w:rPr>
        <w:t xml:space="preserve">  </w:t>
      </w:r>
      <w:r>
        <w:rPr>
          <w:rStyle w:val="StringTok"/>
        </w:rPr>
        <w:t xml:space="preserve">`</w:t>
      </w:r>
      <w:r>
        <w:rPr>
          <w:rStyle w:val="AttributeTok"/>
        </w:rPr>
        <w:t xml:space="preserve">Soil Type (WRB)</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StringTok"/>
        </w:rPr>
        <w:t xml:space="preserve">"Calcaric Cambisol"</w:t>
      </w:r>
      <w:r>
        <w:rPr>
          <w:rStyle w:val="NormalTok"/>
        </w:rPr>
        <w:t xml:space="preserve">, </w:t>
      </w:r>
      <w:r>
        <w:rPr>
          <w:rStyle w:val="StringTok"/>
        </w:rPr>
        <w:t xml:space="preserve">"Eutric Fluvisol"</w:t>
      </w:r>
      <w:r>
        <w:rPr>
          <w:rStyle w:val="NormalTok"/>
        </w:rPr>
        <w:t xml:space="preserve">, </w:t>
      </w:r>
      <w:r>
        <w:rPr>
          <w:rStyle w:val="StringTok"/>
        </w:rPr>
        <w:t xml:space="preserve">"Eutric Cambisol"</w:t>
      </w:r>
      <w:r>
        <w:rPr>
          <w:rStyle w:val="NormalTok"/>
        </w:rPr>
        <w:t xml:space="preserve">, </w:t>
      </w:r>
      <w:r>
        <w:rPr>
          <w:rStyle w:val="StringTok"/>
        </w:rPr>
        <w:t xml:space="preserve">"Calcaric Fluvisol"</w:t>
      </w:r>
      <w:r>
        <w:rPr>
          <w:rStyle w:val="NormalTok"/>
        </w:rPr>
        <w:t xml:space="preserve">, </w:t>
      </w:r>
      <w:r>
        <w:rPr>
          <w:rStyle w:val="StringTok"/>
        </w:rPr>
        <w:t xml:space="preserve">"Gleyic-calc. Cambisol"</w:t>
      </w:r>
      <w:r>
        <w:rPr>
          <w:rStyle w:val="NormalTok"/>
        </w:rPr>
        <w:t xml:space="preserve">, </w:t>
      </w:r>
      <w:r>
        <w:rPr>
          <w:rStyle w:val="StringTok"/>
        </w:rPr>
        <w:t xml:space="preserve">"Eutric Gleysol"</w:t>
      </w:r>
      <w:r>
        <w:rPr>
          <w:rStyle w:val="NormalTok"/>
        </w:rPr>
        <w:t xml:space="preserve">),</w:t>
      </w:r>
      <w:r>
        <w:br/>
      </w:r>
      <w:r>
        <w:rPr>
          <w:rStyle w:val="NormalTok"/>
        </w:rPr>
        <w:t xml:space="preserve">  </w:t>
      </w:r>
      <w:r>
        <w:rPr>
          <w:rStyle w:val="StringTok"/>
        </w:rPr>
        <w:t xml:space="preserve">`</w:t>
      </w:r>
      <w:r>
        <w:rPr>
          <w:rStyle w:val="AttributeTok"/>
        </w:rPr>
        <w:t xml:space="preserve">Clay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DecValTok"/>
        </w:rPr>
        <w:t xml:space="preserve">22</w:t>
      </w:r>
      <w:r>
        <w:rPr>
          <w:rStyle w:val="NormalTok"/>
        </w:rPr>
        <w:t xml:space="preserve">, </w:t>
      </w:r>
      <w:r>
        <w:rPr>
          <w:rStyle w:val="DecValTok"/>
        </w:rPr>
        <w:t xml:space="preserve">8</w:t>
      </w:r>
      <w:r>
        <w:rPr>
          <w:rStyle w:val="NormalTok"/>
        </w:rPr>
        <w:t xml:space="preserve">, </w:t>
      </w:r>
      <w:r>
        <w:rPr>
          <w:rStyle w:val="DecValTok"/>
        </w:rPr>
        <w:t xml:space="preserve">33</w:t>
      </w:r>
      <w:r>
        <w:rPr>
          <w:rStyle w:val="NormalTok"/>
        </w:rPr>
        <w:t xml:space="preserve">, </w:t>
      </w:r>
      <w:r>
        <w:rPr>
          <w:rStyle w:val="DecValTok"/>
        </w:rPr>
        <w:t xml:space="preserve">17</w:t>
      </w:r>
      <w:r>
        <w:rPr>
          <w:rStyle w:val="NormalTok"/>
        </w:rPr>
        <w:t xml:space="preserve">, </w:t>
      </w:r>
      <w:r>
        <w:rPr>
          <w:rStyle w:val="DecValTok"/>
        </w:rPr>
        <w:t xml:space="preserve">37</w:t>
      </w:r>
      <w:r>
        <w:rPr>
          <w:rStyle w:val="NormalTok"/>
        </w:rPr>
        <w:t xml:space="preserve">, </w:t>
      </w:r>
      <w:r>
        <w:rPr>
          <w:rStyle w:val="DecValTok"/>
        </w:rPr>
        <w:t xml:space="preserve">39</w:t>
      </w:r>
      <w:r>
        <w:rPr>
          <w:rStyle w:val="NormalTok"/>
        </w:rPr>
        <w:t xml:space="preserve">),</w:t>
      </w:r>
      <w:r>
        <w:br/>
      </w:r>
      <w:r>
        <w:rPr>
          <w:rStyle w:val="NormalTok"/>
        </w:rPr>
        <w:t xml:space="preserve">  </w:t>
      </w:r>
      <w:r>
        <w:rPr>
          <w:rStyle w:val="StringTok"/>
        </w:rPr>
        <w:t xml:space="preserve">`</w:t>
      </w:r>
      <w:r>
        <w:rPr>
          <w:rStyle w:val="AttributeTok"/>
        </w:rPr>
        <w:t xml:space="preserve">Sand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DecValTok"/>
        </w:rPr>
        <w:t xml:space="preserve">48</w:t>
      </w:r>
      <w:r>
        <w:rPr>
          <w:rStyle w:val="NormalTok"/>
        </w:rPr>
        <w:t xml:space="preserve">, </w:t>
      </w:r>
      <w:r>
        <w:rPr>
          <w:rStyle w:val="DecValTok"/>
        </w:rPr>
        <w:t xml:space="preserve">40</w:t>
      </w:r>
      <w:r>
        <w:rPr>
          <w:rStyle w:val="NormalTok"/>
        </w:rPr>
        <w:t xml:space="preserve">, </w:t>
      </w:r>
      <w:r>
        <w:rPr>
          <w:rStyle w:val="DecValTok"/>
        </w:rPr>
        <w:t xml:space="preserve">31</w:t>
      </w:r>
      <w:r>
        <w:rPr>
          <w:rStyle w:val="NormalTok"/>
        </w:rPr>
        <w:t xml:space="preserve">, </w:t>
      </w:r>
      <w:r>
        <w:rPr>
          <w:rStyle w:val="DecValTok"/>
        </w:rPr>
        <w:t xml:space="preserve">34</w:t>
      </w:r>
      <w:r>
        <w:rPr>
          <w:rStyle w:val="NormalTok"/>
        </w:rPr>
        <w:t xml:space="preserve">, </w:t>
      </w:r>
      <w:r>
        <w:rPr>
          <w:rStyle w:val="DecValTok"/>
        </w:rPr>
        <w:t xml:space="preserve">32</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StringTok"/>
        </w:rPr>
        <w:t xml:space="preserve">`</w:t>
      </w:r>
      <w:r>
        <w:rPr>
          <w:rStyle w:val="AttributeTok"/>
        </w:rPr>
        <w:t xml:space="preserve">Organic C (g/kg)</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DecValTok"/>
        </w:rPr>
        <w:t xml:space="preserve">21</w:t>
      </w:r>
      <w:r>
        <w:rPr>
          <w:rStyle w:val="NormalTok"/>
        </w:rPr>
        <w:t xml:space="preserve">, </w:t>
      </w:r>
      <w:r>
        <w:rPr>
          <w:rStyle w:val="DecValTok"/>
        </w:rPr>
        <w:t xml:space="preserve">14</w:t>
      </w:r>
      <w:r>
        <w:rPr>
          <w:rStyle w:val="NormalTok"/>
        </w:rPr>
        <w:t xml:space="preserve">, </w:t>
      </w:r>
      <w:r>
        <w:rPr>
          <w:rStyle w:val="DecValTok"/>
        </w:rPr>
        <w:t xml:space="preserve">23</w:t>
      </w:r>
      <w:r>
        <w:rPr>
          <w:rStyle w:val="NormalTok"/>
        </w:rPr>
        <w:t xml:space="preserve">, </w:t>
      </w:r>
      <w:r>
        <w:rPr>
          <w:rStyle w:val="DecValTok"/>
        </w:rPr>
        <w:t xml:space="preserve">16</w:t>
      </w:r>
      <w:r>
        <w:rPr>
          <w:rStyle w:val="NormalTok"/>
        </w:rPr>
        <w:t xml:space="preserve">, </w:t>
      </w:r>
      <w:r>
        <w:rPr>
          <w:rStyle w:val="DecValTok"/>
        </w:rPr>
        <w:t xml:space="preserve">24</w:t>
      </w:r>
      <w:r>
        <w:rPr>
          <w:rStyle w:val="NormalTok"/>
        </w:rPr>
        <w:t xml:space="preserve">, </w:t>
      </w:r>
      <w:r>
        <w:rPr>
          <w:rStyle w:val="DecValTok"/>
        </w:rPr>
        <w:t xml:space="preserve">27</w:t>
      </w:r>
      <w:r>
        <w:rPr>
          <w:rStyle w:val="NormalTok"/>
        </w:rPr>
        <w:t xml:space="preserve">),</w:t>
      </w:r>
      <w:r>
        <w:br/>
      </w:r>
      <w:r>
        <w:rPr>
          <w:rStyle w:val="NormalTok"/>
        </w:rPr>
        <w:t xml:space="preserve">  </w:t>
      </w:r>
      <w:r>
        <w:rPr>
          <w:rStyle w:val="StringTok"/>
        </w:rPr>
        <w:t xml:space="preserve">`</w:t>
      </w:r>
      <w:r>
        <w:rPr>
          <w:rStyle w:val="AttributeTok"/>
        </w:rPr>
        <w:t xml:space="preserve">pH (H2O)</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FloatTok"/>
        </w:rPr>
        <w:t xml:space="preserve">7.9</w:t>
      </w:r>
      <w:r>
        <w:rPr>
          <w:rStyle w:val="NormalTok"/>
        </w:rPr>
        <w:t xml:space="preserve">, </w:t>
      </w:r>
      <w:r>
        <w:rPr>
          <w:rStyle w:val="FloatTok"/>
        </w:rPr>
        <w:t xml:space="preserve">6.3</w:t>
      </w:r>
      <w:r>
        <w:rPr>
          <w:rStyle w:val="NormalTok"/>
        </w:rPr>
        <w:t xml:space="preserve">, </w:t>
      </w:r>
      <w:r>
        <w:rPr>
          <w:rStyle w:val="FloatTok"/>
        </w:rPr>
        <w:t xml:space="preserve">6.6</w:t>
      </w:r>
      <w:r>
        <w:rPr>
          <w:rStyle w:val="NormalTok"/>
        </w:rPr>
        <w:t xml:space="preserve">, </w:t>
      </w:r>
      <w:r>
        <w:rPr>
          <w:rStyle w:val="FloatTok"/>
        </w:rPr>
        <w:t xml:space="preserve">8.3</w:t>
      </w:r>
      <w:r>
        <w:rPr>
          <w:rStyle w:val="NormalTok"/>
        </w:rPr>
        <w:t xml:space="preserve">, </w:t>
      </w:r>
      <w:r>
        <w:rPr>
          <w:rStyle w:val="FloatTok"/>
        </w:rPr>
        <w:t xml:space="preserve">7.1</w:t>
      </w:r>
      <w:r>
        <w:rPr>
          <w:rStyle w:val="NormalTok"/>
        </w:rPr>
        <w:t xml:space="preserve">, </w:t>
      </w:r>
      <w:r>
        <w:rPr>
          <w:rStyle w:val="FloatTok"/>
        </w:rPr>
        <w:t xml:space="preserve">7.4</w:t>
      </w:r>
      <w:r>
        <w:rPr>
          <w:rStyle w:val="NormalTok"/>
        </w:rPr>
        <w:t xml:space="preserve">),</w:t>
      </w:r>
      <w:r>
        <w:br/>
      </w:r>
      <w:r>
        <w:rPr>
          <w:rStyle w:val="NormalTok"/>
        </w:rPr>
        <w:t xml:space="preserve">  </w:t>
      </w:r>
      <w:r>
        <w:rPr>
          <w:rStyle w:val="AttributeTok"/>
        </w:rPr>
        <w:t xml:space="preserve">check.names =</w:t>
      </w:r>
      <w:r>
        <w:rPr>
          <w:rStyle w:val="NormalTok"/>
        </w:rPr>
        <w:t xml:space="preserve"> </w:t>
      </w:r>
      <w:r>
        <w:rPr>
          <w:rStyle w:val="ConstantTok"/>
        </w:rPr>
        <w:t xml:space="preserve">FALSE</w:t>
      </w:r>
      <w:r>
        <w:br/>
      </w:r>
      <w:r>
        <w:rPr>
          <w:rStyle w:val="NormalTok"/>
        </w:rPr>
        <w:t xml:space="preserve">)</w:t>
      </w:r>
      <w:r>
        <w:br/>
      </w:r>
      <w:r>
        <w:br/>
      </w:r>
      <w:r>
        <w:rPr>
          <w:rStyle w:val="NormalTok"/>
        </w:rPr>
        <w:t xml:space="preserve">knitr</w:t>
      </w:r>
      <w:r>
        <w:rPr>
          <w:rStyle w:val="SpecialCharTok"/>
        </w:rPr>
        <w:t xml:space="preserve">::</w:t>
      </w:r>
      <w:r>
        <w:rPr>
          <w:rStyle w:val="FunctionTok"/>
        </w:rPr>
        <w:t xml:space="preserve">kable</w:t>
      </w:r>
      <w:r>
        <w:rPr>
          <w:rStyle w:val="NormalTok"/>
        </w:rPr>
        <w:t xml:space="preserve">(sites_df_corrected)</w:t>
      </w:r>
    </w:p>
    <w:tbl>
      <w:tblPr>
        <w:tblStyle w:val="Table"/>
        <w:tblW w:type="pct" w:w="5000"/>
        <w:tblLayout w:type="fixed"/>
        <w:tblLook w:firstRow="0" w:lastRow="0" w:firstColumn="0" w:lastColumn="0" w:noHBand="0" w:noVBand="0" w:val="0000"/>
      </w:tblPr>
      <w:tblGrid>
        <w:gridCol w:w="7920"/>
      </w:tblGrid>
      <w:tr>
        <w:tc>
          <w:tcPr/>
          <w:bookmarkStart w:id="10" w:name="tbl-sites-corrected"/>
          <w:p>
            <w:pPr>
              <w:jc w:val="center"/>
            </w:pPr>
            <w:pPr>
              <w:jc w:val="left"/>
              <w:spacing w:before="200"/>
              <w:pStyle w:val="ImageCaption"/>
            </w:pPr>
            <w:r>
              <w:t xml:space="preserve">Table 1: Soil characteristics of the six long-term experimental sites. Data adapted from Hirte et al. (2021).</w:t>
            </w:r>
          </w:p>
          <w:tbl>
            <w:tblPr>
              <w:tblStyle w:val="Table"/>
              <w:tblW w:type="pct" w:w="5000"/>
              <w:tblLayout w:type="fixed"/>
              <w:tblLook w:firstRow="1" w:lastRow="0" w:firstColumn="0" w:lastColumn="0" w:noHBand="0" w:noVBand="0" w:val="0020"/>
            </w:tblPr>
            <w:tblGrid>
              <w:gridCol w:w="557"/>
              <w:gridCol w:w="2454"/>
              <w:gridCol w:w="1003"/>
              <w:gridCol w:w="1003"/>
              <w:gridCol w:w="1896"/>
              <w:gridCol w:w="1003"/>
            </w:tblGrid>
            <w:tr>
              <w:trPr>
                <w:tblHeader w:val="on"/>
              </w:trPr>
              <w:tc>
                <w:tcPr/>
                <w:p>
                  <w:pPr>
                    <w:pStyle w:val="Compact"/>
                    <w:jc w:val="left"/>
                    <w:jc w:val="center"/>
                  </w:pPr>
                  <w:r>
                    <w:t xml:space="preserve">Site</w:t>
                  </w:r>
                </w:p>
              </w:tc>
              <w:tc>
                <w:tcPr/>
                <w:p>
                  <w:pPr>
                    <w:pStyle w:val="Compact"/>
                    <w:jc w:val="left"/>
                    <w:jc w:val="center"/>
                  </w:pPr>
                  <w:r>
                    <w:t xml:space="preserve">Soil Type (WRB)</w:t>
                  </w:r>
                </w:p>
              </w:tc>
              <w:tc>
                <w:tcPr/>
                <w:p>
                  <w:pPr>
                    <w:pStyle w:val="Compact"/>
                    <w:jc w:val="right"/>
                    <w:jc w:val="center"/>
                  </w:pPr>
                  <w:r>
                    <w:t xml:space="preserve">Clay (%)</w:t>
                  </w:r>
                </w:p>
              </w:tc>
              <w:tc>
                <w:tcPr/>
                <w:p>
                  <w:pPr>
                    <w:pStyle w:val="Compact"/>
                    <w:jc w:val="right"/>
                    <w:jc w:val="center"/>
                  </w:pPr>
                  <w:r>
                    <w:t xml:space="preserve">Sand (%)</w:t>
                  </w:r>
                </w:p>
              </w:tc>
              <w:tc>
                <w:tcPr/>
                <w:p>
                  <w:pPr>
                    <w:pStyle w:val="Compact"/>
                    <w:jc w:val="right"/>
                    <w:jc w:val="center"/>
                  </w:pPr>
                  <w:r>
                    <w:t xml:space="preserve">Organic C (g/kg)</w:t>
                  </w:r>
                </w:p>
              </w:tc>
              <w:tc>
                <w:tcPr/>
                <w:p>
                  <w:pPr>
                    <w:pStyle w:val="Compact"/>
                    <w:jc w:val="right"/>
                    <w:jc w:val="center"/>
                  </w:pPr>
                  <w:r>
                    <w:t xml:space="preserve">pH (H2O)</w:t>
                  </w:r>
                </w:p>
              </w:tc>
            </w:tr>
            <w:tr>
              <w:tc>
                <w:tcPr/>
                <w:p>
                  <w:pPr>
                    <w:pStyle w:val="Compact"/>
                    <w:jc w:val="left"/>
                    <w:jc w:val="center"/>
                  </w:pPr>
                  <w:r>
                    <w:t xml:space="preserve">ALT</w:t>
                  </w:r>
                </w:p>
              </w:tc>
              <w:tc>
                <w:tcPr/>
                <w:p>
                  <w:pPr>
                    <w:pStyle w:val="Compact"/>
                    <w:jc w:val="left"/>
                    <w:jc w:val="center"/>
                  </w:pPr>
                  <w:r>
                    <w:t xml:space="preserve">Calcaric Cambisol</w:t>
                  </w:r>
                </w:p>
              </w:tc>
              <w:tc>
                <w:tcPr/>
                <w:p>
                  <w:pPr>
                    <w:pStyle w:val="Compact"/>
                    <w:jc w:val="right"/>
                    <w:jc w:val="center"/>
                  </w:pPr>
                  <w:r>
                    <w:t xml:space="preserve">22</w:t>
                  </w:r>
                </w:p>
              </w:tc>
              <w:tc>
                <w:tcPr/>
                <w:p>
                  <w:pPr>
                    <w:pStyle w:val="Compact"/>
                    <w:jc w:val="right"/>
                    <w:jc w:val="center"/>
                  </w:pPr>
                  <w:r>
                    <w:t xml:space="preserve">48</w:t>
                  </w:r>
                </w:p>
              </w:tc>
              <w:tc>
                <w:tcPr/>
                <w:p>
                  <w:pPr>
                    <w:pStyle w:val="Compact"/>
                    <w:jc w:val="right"/>
                    <w:jc w:val="center"/>
                  </w:pPr>
                  <w:r>
                    <w:t xml:space="preserve">21</w:t>
                  </w:r>
                </w:p>
              </w:tc>
              <w:tc>
                <w:tcPr/>
                <w:p>
                  <w:pPr>
                    <w:pStyle w:val="Compact"/>
                    <w:jc w:val="right"/>
                    <w:jc w:val="center"/>
                  </w:pPr>
                  <w:r>
                    <w:t xml:space="preserve">7.9</w:t>
                  </w:r>
                </w:p>
              </w:tc>
            </w:tr>
            <w:tr>
              <w:tc>
                <w:tcPr/>
                <w:p>
                  <w:pPr>
                    <w:pStyle w:val="Compact"/>
                    <w:jc w:val="left"/>
                    <w:jc w:val="center"/>
                  </w:pPr>
                  <w:r>
                    <w:t xml:space="preserve">CAD</w:t>
                  </w:r>
                </w:p>
              </w:tc>
              <w:tc>
                <w:tcPr/>
                <w:p>
                  <w:pPr>
                    <w:pStyle w:val="Compact"/>
                    <w:jc w:val="left"/>
                    <w:jc w:val="center"/>
                  </w:pPr>
                  <w:r>
                    <w:t xml:space="preserve">Eutric Fluvisol</w:t>
                  </w:r>
                </w:p>
              </w:tc>
              <w:tc>
                <w:tcPr/>
                <w:p>
                  <w:pPr>
                    <w:pStyle w:val="Compact"/>
                    <w:jc w:val="right"/>
                    <w:jc w:val="center"/>
                  </w:pPr>
                  <w:r>
                    <w:t xml:space="preserve">8</w:t>
                  </w:r>
                </w:p>
              </w:tc>
              <w:tc>
                <w:tcPr/>
                <w:p>
                  <w:pPr>
                    <w:pStyle w:val="Compact"/>
                    <w:jc w:val="right"/>
                    <w:jc w:val="center"/>
                  </w:pPr>
                  <w:r>
                    <w:t xml:space="preserve">40</w:t>
                  </w:r>
                </w:p>
              </w:tc>
              <w:tc>
                <w:tcPr/>
                <w:p>
                  <w:pPr>
                    <w:pStyle w:val="Compact"/>
                    <w:jc w:val="right"/>
                    <w:jc w:val="center"/>
                  </w:pPr>
                  <w:r>
                    <w:t xml:space="preserve">14</w:t>
                  </w:r>
                </w:p>
              </w:tc>
              <w:tc>
                <w:tcPr/>
                <w:p>
                  <w:pPr>
                    <w:pStyle w:val="Compact"/>
                    <w:jc w:val="right"/>
                    <w:jc w:val="center"/>
                  </w:pPr>
                  <w:r>
                    <w:t xml:space="preserve">6.3</w:t>
                  </w:r>
                </w:p>
              </w:tc>
            </w:tr>
            <w:tr>
              <w:tc>
                <w:tcPr/>
                <w:p>
                  <w:pPr>
                    <w:pStyle w:val="Compact"/>
                    <w:jc w:val="left"/>
                    <w:jc w:val="center"/>
                  </w:pPr>
                  <w:r>
                    <w:t xml:space="preserve">ELL</w:t>
                  </w:r>
                </w:p>
              </w:tc>
              <w:tc>
                <w:tcPr/>
                <w:p>
                  <w:pPr>
                    <w:pStyle w:val="Compact"/>
                    <w:jc w:val="left"/>
                    <w:jc w:val="center"/>
                  </w:pPr>
                  <w:r>
                    <w:t xml:space="preserve">Eutric Cambisol</w:t>
                  </w:r>
                </w:p>
              </w:tc>
              <w:tc>
                <w:tcPr/>
                <w:p>
                  <w:pPr>
                    <w:pStyle w:val="Compact"/>
                    <w:jc w:val="right"/>
                    <w:jc w:val="center"/>
                  </w:pPr>
                  <w:r>
                    <w:t xml:space="preserve">33</w:t>
                  </w:r>
                </w:p>
              </w:tc>
              <w:tc>
                <w:tcPr/>
                <w:p>
                  <w:pPr>
                    <w:pStyle w:val="Compact"/>
                    <w:jc w:val="right"/>
                    <w:jc w:val="center"/>
                  </w:pPr>
                  <w:r>
                    <w:t xml:space="preserve">31</w:t>
                  </w:r>
                </w:p>
              </w:tc>
              <w:tc>
                <w:tcPr/>
                <w:p>
                  <w:pPr>
                    <w:pStyle w:val="Compact"/>
                    <w:jc w:val="right"/>
                    <w:jc w:val="center"/>
                  </w:pPr>
                  <w:r>
                    <w:t xml:space="preserve">23</w:t>
                  </w:r>
                </w:p>
              </w:tc>
              <w:tc>
                <w:tcPr/>
                <w:p>
                  <w:pPr>
                    <w:pStyle w:val="Compact"/>
                    <w:jc w:val="right"/>
                    <w:jc w:val="center"/>
                  </w:pPr>
                  <w:r>
                    <w:t xml:space="preserve">6.6</w:t>
                  </w:r>
                </w:p>
              </w:tc>
            </w:tr>
            <w:tr>
              <w:tc>
                <w:tcPr/>
                <w:p>
                  <w:pPr>
                    <w:pStyle w:val="Compact"/>
                    <w:jc w:val="left"/>
                    <w:jc w:val="center"/>
                  </w:pPr>
                  <w:r>
                    <w:t xml:space="preserve">GRA</w:t>
                  </w:r>
                </w:p>
              </w:tc>
              <w:tc>
                <w:tcPr/>
                <w:p>
                  <w:pPr>
                    <w:pStyle w:val="Compact"/>
                    <w:jc w:val="left"/>
                    <w:jc w:val="center"/>
                  </w:pPr>
                  <w:r>
                    <w:t xml:space="preserve">Calcaric Fluvisol</w:t>
                  </w:r>
                </w:p>
              </w:tc>
              <w:tc>
                <w:tcPr/>
                <w:p>
                  <w:pPr>
                    <w:pStyle w:val="Compact"/>
                    <w:jc w:val="right"/>
                    <w:jc w:val="center"/>
                  </w:pPr>
                  <w:r>
                    <w:t xml:space="preserve">17</w:t>
                  </w:r>
                </w:p>
              </w:tc>
              <w:tc>
                <w:tcPr/>
                <w:p>
                  <w:pPr>
                    <w:pStyle w:val="Compact"/>
                    <w:jc w:val="right"/>
                    <w:jc w:val="center"/>
                  </w:pPr>
                  <w:r>
                    <w:t xml:space="preserve">34</w:t>
                  </w:r>
                </w:p>
              </w:tc>
              <w:tc>
                <w:tcPr/>
                <w:p>
                  <w:pPr>
                    <w:pStyle w:val="Compact"/>
                    <w:jc w:val="right"/>
                    <w:jc w:val="center"/>
                  </w:pPr>
                  <w:r>
                    <w:t xml:space="preserve">16</w:t>
                  </w:r>
                </w:p>
              </w:tc>
              <w:tc>
                <w:tcPr/>
                <w:p>
                  <w:pPr>
                    <w:pStyle w:val="Compact"/>
                    <w:jc w:val="right"/>
                    <w:jc w:val="center"/>
                  </w:pPr>
                  <w:r>
                    <w:t xml:space="preserve">8.3</w:t>
                  </w:r>
                </w:p>
              </w:tc>
            </w:tr>
            <w:tr>
              <w:tc>
                <w:tcPr/>
                <w:p>
                  <w:pPr>
                    <w:pStyle w:val="Compact"/>
                    <w:jc w:val="left"/>
                    <w:jc w:val="center"/>
                  </w:pPr>
                  <w:r>
                    <w:t xml:space="preserve">OEN</w:t>
                  </w:r>
                </w:p>
              </w:tc>
              <w:tc>
                <w:tcPr/>
                <w:p>
                  <w:pPr>
                    <w:pStyle w:val="Compact"/>
                    <w:jc w:val="left"/>
                    <w:jc w:val="center"/>
                  </w:pPr>
                  <w:r>
                    <w:t xml:space="preserve">Gleyic-calc. Cambisol</w:t>
                  </w:r>
                </w:p>
              </w:tc>
              <w:tc>
                <w:tcPr/>
                <w:p>
                  <w:pPr>
                    <w:pStyle w:val="Compact"/>
                    <w:jc w:val="right"/>
                    <w:jc w:val="center"/>
                  </w:pPr>
                  <w:r>
                    <w:t xml:space="preserve">37</w:t>
                  </w:r>
                </w:p>
              </w:tc>
              <w:tc>
                <w:tcPr/>
                <w:p>
                  <w:pPr>
                    <w:pStyle w:val="Compact"/>
                    <w:jc w:val="right"/>
                    <w:jc w:val="center"/>
                  </w:pPr>
                  <w:r>
                    <w:t xml:space="preserve">32</w:t>
                  </w:r>
                </w:p>
              </w:tc>
              <w:tc>
                <w:tcPr/>
                <w:p>
                  <w:pPr>
                    <w:pStyle w:val="Compact"/>
                    <w:jc w:val="right"/>
                    <w:jc w:val="center"/>
                  </w:pPr>
                  <w:r>
                    <w:t xml:space="preserve">24</w:t>
                  </w:r>
                </w:p>
              </w:tc>
              <w:tc>
                <w:tcPr/>
                <w:p>
                  <w:pPr>
                    <w:pStyle w:val="Compact"/>
                    <w:jc w:val="right"/>
                    <w:jc w:val="center"/>
                  </w:pPr>
                  <w:r>
                    <w:t xml:space="preserve">7.1</w:t>
                  </w:r>
                </w:p>
              </w:tc>
            </w:tr>
            <w:tr>
              <w:tc>
                <w:tcPr/>
                <w:p>
                  <w:pPr>
                    <w:pStyle w:val="Compact"/>
                    <w:jc w:val="left"/>
                    <w:jc w:val="center"/>
                  </w:pPr>
                  <w:r>
                    <w:t xml:space="preserve">REC</w:t>
                  </w:r>
                </w:p>
              </w:tc>
              <w:tc>
                <w:tcPr/>
                <w:p>
                  <w:pPr>
                    <w:pStyle w:val="Compact"/>
                    <w:jc w:val="left"/>
                    <w:jc w:val="center"/>
                  </w:pPr>
                  <w:r>
                    <w:t xml:space="preserve">Eutric Gleysol</w:t>
                  </w:r>
                </w:p>
              </w:tc>
              <w:tc>
                <w:tcPr/>
                <w:p>
                  <w:pPr>
                    <w:pStyle w:val="Compact"/>
                    <w:jc w:val="right"/>
                    <w:jc w:val="center"/>
                  </w:pPr>
                  <w:r>
                    <w:t xml:space="preserve">39</w:t>
                  </w:r>
                </w:p>
              </w:tc>
              <w:tc>
                <w:tcPr/>
                <w:p>
                  <w:pPr>
                    <w:pStyle w:val="Compact"/>
                    <w:jc w:val="right"/>
                    <w:jc w:val="center"/>
                  </w:pPr>
                  <w:r>
                    <w:t xml:space="preserve">25</w:t>
                  </w:r>
                </w:p>
              </w:tc>
              <w:tc>
                <w:tcPr/>
                <w:p>
                  <w:pPr>
                    <w:pStyle w:val="Compact"/>
                    <w:jc w:val="right"/>
                    <w:jc w:val="center"/>
                  </w:pPr>
                  <w:r>
                    <w:t xml:space="preserve">27</w:t>
                  </w:r>
                </w:p>
              </w:tc>
              <w:tc>
                <w:tcPr/>
                <w:p>
                  <w:pPr>
                    <w:pStyle w:val="Compact"/>
                    <w:jc w:val="right"/>
                    <w:jc w:val="center"/>
                  </w:pPr>
                  <w:r>
                    <w:t xml:space="preserve">7.4</w:t>
                  </w:r>
                </w:p>
              </w:tc>
            </w:tr>
          </w:tbl>
          <w:bookmarkEnd w:id="10"/>
          <w:p/>
        </w:tc>
      </w:tr>
    </w:tbl>
    <w:p>
      <w:pPr>
        <w:pStyle w:val="BodyText"/>
      </w:pPr>
      <w:r>
        <w:t xml:space="preserve">Soil samples for this thesis were collected in the year 2022 from the topsoil layer (0-20 cm).</w:t>
      </w:r>
    </w:p>
    <w:bookmarkEnd w:id="11"/>
    <w:bookmarkStart w:id="14" w:name="sec-phosphorus-desorption-kinetics"/>
    <w:p>
      <w:pPr>
        <w:pStyle w:val="Heading2"/>
      </w:pPr>
      <w:r>
        <w:t xml:space="preserve">1.3 Phosphorus Desorption Kinetics</w:t>
      </w:r>
    </w:p>
    <w:p>
      <w:pPr>
        <w:pStyle w:val="FirstParagraph"/>
      </w:pPr>
      <w:r>
        <w:t xml:space="preserve">The analysis of phosphorus (P) desorption kinetics was based on the principles of sequential extraction established by</w:t>
      </w:r>
      <w:r>
        <w:t xml:space="preserve"> </w:t>
      </w:r>
      <w:r>
        <w:t xml:space="preserve">Flossmann &amp; Richter (1982)</w:t>
      </w:r>
      <w:r>
        <w:t xml:space="preserve">. The original method is described below, followed by the specific protocol adapted for this study.</w:t>
      </w:r>
    </w:p>
    <w:bookmarkStart w:id="12" w:name="original-method-of-flossmann-and-richter"/>
    <w:p>
      <w:pPr>
        <w:pStyle w:val="Heading3"/>
      </w:pPr>
      <w:r>
        <w:t xml:space="preserve">1.3.1 Original Method of Flossmann and Richter</w:t>
      </w:r>
    </w:p>
    <w:p>
      <w:pPr>
        <w:pStyle w:val="FirstParagraph"/>
      </w:pPr>
      <w:r>
        <w:t xml:space="preserve">The foundational method aims to characterize the P replenishment capacity of the soil. The procedure is as follows:</w:t>
      </w:r>
    </w:p>
    <w:p>
      <w:pPr>
        <w:pStyle w:val="Compact"/>
        <w:numPr>
          <w:ilvl w:val="0"/>
          <w:numId w:val="1001"/>
        </w:numPr>
      </w:pPr>
      <w:r>
        <w:rPr>
          <w:b/>
          <w:bCs/>
        </w:rPr>
        <w:t xml:space="preserve">Removal of Soluble P</w:t>
      </w:r>
      <w:r>
        <w:t xml:space="preserve">: 17.5 g of air-dried soil is shaken with 350 ml of deionized water for one hour at 120 Hz in a horizontal soil-shaker. The suspension is centrifuged at 4000 rpm for 15 minutes and the supernatant is decanted to remove the readily soluble P fraction.</w:t>
      </w:r>
    </w:p>
    <w:p>
      <w:pPr>
        <w:pStyle w:val="Compact"/>
        <w:numPr>
          <w:ilvl w:val="0"/>
          <w:numId w:val="1001"/>
        </w:numPr>
      </w:pPr>
      <w:r>
        <w:rPr>
          <w:b/>
          <w:bCs/>
        </w:rPr>
        <w:t xml:space="preserve">Kinetic Extraction</w:t>
      </w:r>
      <w:r>
        <w:t xml:space="preserve">: The remaining soil pellet is resuspended with another 350 ml of deionized water. Subsamples of the suspension are taken at specific time intervals (e.g., 10, 30, and 120 minutes).</w:t>
      </w:r>
    </w:p>
    <w:p>
      <w:pPr>
        <w:pStyle w:val="Compact"/>
        <w:numPr>
          <w:ilvl w:val="0"/>
          <w:numId w:val="1001"/>
        </w:numPr>
      </w:pPr>
      <w:r>
        <w:rPr>
          <w:b/>
          <w:bCs/>
        </w:rPr>
        <w:t xml:space="preserve">Analysis</w:t>
      </w:r>
      <w:r>
        <w:t xml:space="preserve">: The P concentration in the subsamples is determined colorimetrically.</w:t>
      </w:r>
    </w:p>
    <w:bookmarkEnd w:id="12"/>
    <w:bookmarkStart w:id="13" w:name="Xbd6c1e5704c75ae9a98b5e8f17a138b0c980a04"/>
    <w:p>
      <w:pPr>
        <w:pStyle w:val="Heading3"/>
      </w:pPr>
      <w:r>
        <w:t xml:space="preserve">1.3.2 Adapted Kinetic Protocol for This Study</w:t>
      </w:r>
    </w:p>
    <w:p>
      <w:pPr>
        <w:pStyle w:val="FirstParagraph"/>
      </w:pPr>
      <w:r>
        <w:t xml:space="preserve">For this thesis, the original method was modified to capture the desorption process with a higher temporal resolution.</w:t>
      </w:r>
    </w:p>
    <w:p>
      <w:pPr>
        <w:numPr>
          <w:ilvl w:val="0"/>
          <w:numId w:val="1002"/>
        </w:numPr>
      </w:pPr>
      <w:r>
        <w:rPr>
          <w:b/>
          <w:bCs/>
        </w:rPr>
        <w:t xml:space="preserve">Pre-washing to Remove Soluble P</w:t>
      </w:r>
      <w:r>
        <w:t xml:space="preserve">: A pre-washing step was performed to remove the readily soluble P fraction. 10 g of air-dried soil was suspended in 200 ml of deionized water and shaken for 60 minutes at 120 Hz. The suspension was then centrifuged for 15 minutes at 4000 rpm, and the supernatant containing the soluble P was discarded.</w:t>
      </w:r>
    </w:p>
    <w:p>
      <w:pPr>
        <w:numPr>
          <w:ilvl w:val="0"/>
          <w:numId w:val="1002"/>
        </w:numPr>
      </w:pPr>
      <w:r>
        <w:rPr>
          <w:b/>
          <w:bCs/>
        </w:rPr>
        <w:t xml:space="preserve">Kinetic Extraction</w:t>
      </w:r>
      <w:r>
        <w:t xml:space="preserve">: The remaining soil pellet was resuspended in 200 ml of fresh deionized water. The suspension was shaken continuously, and subsamples were taken at eight time points to generate a detailed kinetic curve:</w:t>
      </w:r>
      <w:r>
        <w:t xml:space="preserve"> </w:t>
      </w:r>
      <w:r>
        <w:rPr>
          <w:b/>
          <w:bCs/>
        </w:rPr>
        <w:t xml:space="preserve">2, 4, 10, 15, 20, 30, 45, and 60 minutes</w:t>
      </w:r>
      <w:r>
        <w:t xml:space="preserve">.</w:t>
      </w:r>
    </w:p>
    <w:p>
      <w:pPr>
        <w:numPr>
          <w:ilvl w:val="0"/>
          <w:numId w:val="1002"/>
        </w:numPr>
      </w:pPr>
      <w:r>
        <w:rPr>
          <w:b/>
          <w:bCs/>
        </w:rPr>
        <w:t xml:space="preserve">Analysis</w:t>
      </w:r>
      <w:r>
        <w:t xml:space="preserve">: Each subsample was immediately filtered. The concentration of orthophosphate in the filtered extracts was determined colorimetrically using the</w:t>
      </w:r>
      <w:r>
        <w:t xml:space="preserve"> </w:t>
      </w:r>
      <w:r>
        <w:rPr>
          <w:b/>
          <w:bCs/>
        </w:rPr>
        <w:t xml:space="preserve">malachite green method</w:t>
      </w:r>
      <w:r>
        <w:t xml:space="preserve"> </w:t>
      </w:r>
      <w:r>
        <w:t xml:space="preserve">(Van Veldhoven &amp; Mannaerts, 1987)</w:t>
      </w:r>
      <w:r>
        <w:t xml:space="preserve">.</w:t>
      </w:r>
    </w:p>
    <w:bookmarkEnd w:id="13"/>
    <w:bookmarkEnd w:id="14"/>
    <w:bookmarkStart w:id="39" w:name="sec-statistical-analysis"/>
    <w:p>
      <w:pPr>
        <w:pStyle w:val="Heading2"/>
      </w:pPr>
      <w:r>
        <w:t xml:space="preserve">1.4 Statistical Analysis</w:t>
      </w:r>
    </w:p>
    <w:bookmarkStart w:id="15" w:name="software-and-statistical-environment"/>
    <w:p>
      <w:pPr>
        <w:pStyle w:val="Heading3"/>
      </w:pPr>
      <w:r>
        <w:t xml:space="preserve">1.4.1 Software and Statistical Environment</w:t>
      </w:r>
    </w:p>
    <w:p>
      <w:pPr>
        <w:pStyle w:val="FirstParagraph"/>
      </w:pPr>
      <w:r>
        <w:t xml:space="preserve">All data processing, statistical modeling, and visualization were conducted using the R programming language (v. 4.2.2)</w:t>
      </w:r>
      <w:r>
        <w:t xml:space="preserve"> </w:t>
      </w:r>
      <w:r>
        <w:t xml:space="preserve">(R Core Team, 2022)</w:t>
      </w:r>
      <w:r>
        <w:t xml:space="preserve">. The primary packages used for the analysis were: -</w:t>
      </w:r>
      <w:r>
        <w:t xml:space="preserve"> </w:t>
      </w:r>
      <w:r>
        <w:rPr>
          <w:rStyle w:val="VerbatimChar"/>
        </w:rPr>
        <w:t xml:space="preserve">nlme</w:t>
      </w:r>
      <w:r>
        <w:t xml:space="preserve"> </w:t>
      </w:r>
      <w:r>
        <w:t xml:space="preserve">(Pinheiro et al., 2022)</w:t>
      </w:r>
      <w:r>
        <w:t xml:space="preserve"> </w:t>
      </w:r>
      <w:r>
        <w:t xml:space="preserve">for fitting the non-linear mixed-effects models to the kinetic data. -</w:t>
      </w:r>
      <w:r>
        <w:t xml:space="preserve"> </w:t>
      </w:r>
      <w:r>
        <w:rPr>
          <w:rStyle w:val="VerbatimChar"/>
        </w:rPr>
        <w:t xml:space="preserve">lme4</w:t>
      </w:r>
      <w:r>
        <w:t xml:space="preserve"> </w:t>
      </w:r>
      <w:r>
        <w:t xml:space="preserve">(Bates et al., 2015)</w:t>
      </w:r>
      <w:r>
        <w:t xml:space="preserve"> </w:t>
      </w:r>
      <w:r>
        <w:t xml:space="preserve">and</w:t>
      </w:r>
      <w:r>
        <w:t xml:space="preserve"> </w:t>
      </w:r>
      <w:r>
        <w:rPr>
          <w:rStyle w:val="VerbatimChar"/>
        </w:rPr>
        <w:t xml:space="preserve">lmerTest</w:t>
      </w:r>
      <w:r>
        <w:t xml:space="preserve"> </w:t>
      </w:r>
      <w:r>
        <w:t xml:space="preserve">(Kuznetsova et al., 2017)</w:t>
      </w:r>
      <w:r>
        <w:t xml:space="preserve"> </w:t>
      </w:r>
      <w:r>
        <w:t xml:space="preserve">for fitting and testing the linear mixed-effects models for agronomic and soil property analyses. -</w:t>
      </w:r>
      <w:r>
        <w:t xml:space="preserve"> </w:t>
      </w:r>
      <w:r>
        <w:rPr>
          <w:rStyle w:val="VerbatimChar"/>
        </w:rPr>
        <w:t xml:space="preserve">mlr3</w:t>
      </w:r>
      <w:r>
        <w:t xml:space="preserve"> </w:t>
      </w:r>
      <w:r>
        <w:t xml:space="preserve">(Lang et al., 2019)</w:t>
      </w:r>
      <w:r>
        <w:t xml:space="preserve"> </w:t>
      </w:r>
      <w:r>
        <w:t xml:space="preserve">for the systematic feature selection and model validation workflow.</w:t>
      </w:r>
    </w:p>
    <w:bookmarkEnd w:id="15"/>
    <w:bookmarkStart w:id="16" w:name="sec-modeling-of-desorption-kinetics"/>
    <w:p>
      <w:pPr>
        <w:pStyle w:val="Heading3"/>
      </w:pPr>
      <w:r>
        <w:t xml:space="preserve">1.4.2 Modeling of Desorption Kinetics</w:t>
      </w:r>
    </w:p>
    <w:p>
      <w:pPr>
        <w:pStyle w:val="FirstParagraph"/>
      </w:pPr>
      <w:r>
        <w:t xml:space="preserve">To derive the kinetic parameters, a non-linear mixed-effects model was implemented using the</w:t>
      </w:r>
      <w:r>
        <w:t xml:space="preserve"> </w:t>
      </w:r>
      <w:r>
        <w:rPr>
          <w:rStyle w:val="VerbatimChar"/>
        </w:rPr>
        <w:t xml:space="preserve">nlme</w:t>
      </w:r>
      <w:r>
        <w:t xml:space="preserve"> </w:t>
      </w:r>
      <w:r>
        <w:t xml:space="preserve">package. This approach was chosen to simultaneously estimate the rate constant (</w:t>
      </w:r>
      <w:r>
        <w:rPr>
          <w:i/>
          <w:iCs/>
        </w:rPr>
        <w:t xml:space="preserve">k</w:t>
      </w:r>
      <w:r>
        <w:t xml:space="preserve">) and the maximum desorbable P (</w:t>
      </w:r>
      <m:oMath>
        <m:sSub>
          <m:e>
            <m:r>
              <m:t>P</m:t>
            </m:r>
          </m:e>
          <m:sub>
            <m:r>
              <m:t>d</m:t>
            </m:r>
            <m:r>
              <m:t>e</m:t>
            </m:r>
            <m:r>
              <m:t>s</m:t>
            </m:r>
            <m:r>
              <m:t>o</m:t>
            </m:r>
            <m:r>
              <m:t>r</m:t>
            </m:r>
            <m:r>
              <m:t>b</m:t>
            </m:r>
          </m:sub>
        </m:sSub>
      </m:oMath>
      <w:r>
        <w:t xml:space="preserve">) for each soil sample. The model was fitted to the exact solution of the first-order rate equation:</w:t>
      </w:r>
    </w:p>
    <w:p>
      <w:pPr>
        <w:pStyle w:val="BodyText"/>
      </w:pPr>
      <m:oMathPara>
        <m:oMathParaPr>
          <m:jc m:val="center"/>
        </m:oMathParaPr>
        <m:oMath>
          <m:r>
            <m:t>P</m:t>
          </m:r>
          <m:r>
            <m:rPr>
              <m:sty m:val="p"/>
            </m:rPr>
            <m:t>(</m:t>
          </m:r>
          <m:r>
            <m:t>t</m:t>
          </m:r>
          <m:r>
            <m:rPr>
              <m:sty m:val="p"/>
            </m:rPr>
            <m:t>)</m:t>
          </m:r>
          <m:r>
            <m:rPr>
              <m:sty m:val="p"/>
            </m:rPr>
            <m:t>=</m:t>
          </m:r>
          <m:sSub>
            <m:e>
              <m:r>
                <m:t>P</m:t>
              </m:r>
            </m:e>
            <m:sub>
              <m:r>
                <m:t>d</m:t>
              </m:r>
              <m:r>
                <m:t>e</m:t>
              </m:r>
              <m:r>
                <m:t>s</m:t>
              </m:r>
              <m:r>
                <m:t>o</m:t>
              </m:r>
              <m:r>
                <m:t>r</m:t>
              </m:r>
              <m:r>
                <m:t>b</m:t>
              </m:r>
            </m:sub>
          </m:sSub>
          <m:r>
            <m:rPr>
              <m:sty m:val="p"/>
            </m:rPr>
            <m:t>×</m:t>
          </m:r>
          <m:r>
            <m:rPr>
              <m:sty m:val="p"/>
            </m:rPr>
            <m:t>(</m:t>
          </m:r>
          <m:r>
            <m:t>1</m:t>
          </m:r>
          <m:r>
            <m:rPr>
              <m:sty m:val="p"/>
            </m:rPr>
            <m:t>−</m:t>
          </m:r>
          <m:sSup>
            <m:e>
              <m:r>
                <m:t>e</m:t>
              </m:r>
            </m:e>
            <m:sup>
              <m:r>
                <m:rPr>
                  <m:sty m:val="p"/>
                </m:rPr>
                <m:t>−</m:t>
              </m:r>
              <m:r>
                <m:t>k</m:t>
              </m:r>
              <m:r>
                <m:rPr>
                  <m:sty m:val="p"/>
                </m:rPr>
                <m:t>×</m:t>
              </m:r>
              <m:sSup>
                <m:e>
                  <m:r>
                    <m:t>t</m:t>
                  </m:r>
                </m:e>
                <m:sup>
                  <m:r>
                    <m:rPr>
                      <m:sty m:val="p"/>
                    </m:rPr>
                    <m:t>′</m:t>
                  </m:r>
                </m:sup>
              </m:sSup>
            </m:sup>
          </m:sSup>
          <m:r>
            <m:rPr>
              <m:sty m:val="p"/>
            </m:rPr>
            <m:t>)</m:t>
          </m:r>
        </m:oMath>
      </m:oMathPara>
    </w:p>
    <w:p>
      <w:pPr>
        <w:pStyle w:val="FirstParagraph"/>
      </w:pPr>
      <w:r>
        <w:t xml:space="preserve">Where</w:t>
      </w:r>
      <w:r>
        <w:t xml:space="preserve"> </w:t>
      </w:r>
      <m:oMath>
        <m:r>
          <m:t>P</m:t>
        </m:r>
        <m:r>
          <m:rPr>
            <m:sty m:val="p"/>
          </m:rPr>
          <m:t>(</m:t>
        </m:r>
        <m:r>
          <m:t>t</m:t>
        </m:r>
        <m:r>
          <m:rPr>
            <m:sty m:val="p"/>
          </m:rPr>
          <m:t>)</m:t>
        </m:r>
      </m:oMath>
      <w:r>
        <w:t xml:space="preserve"> </w:t>
      </w:r>
      <w:r>
        <w:t xml:space="preserve">is the P concentration at time</w:t>
      </w:r>
      <w:r>
        <w:t xml:space="preserve"> </w:t>
      </w:r>
      <m:oMath>
        <m:r>
          <m:t>t</m:t>
        </m:r>
      </m:oMath>
      <w:r>
        <w:t xml:space="preserve">, and</w:t>
      </w:r>
      <w:r>
        <w:t xml:space="preserve"> </w:t>
      </w:r>
      <m:oMath>
        <m:sSup>
          <m:e>
            <m:r>
              <m:t>t</m:t>
            </m:r>
          </m:e>
          <m:sup>
            <m:r>
              <m:rPr>
                <m:sty m:val="p"/>
              </m:rPr>
              <m:t>′</m:t>
            </m:r>
          </m:sup>
        </m:sSup>
      </m:oMath>
      <w:r>
        <w:t xml:space="preserve"> </w:t>
      </w:r>
      <w:r>
        <w:t xml:space="preserve">is an adjusted time (</w:t>
      </w:r>
      <m:oMath>
        <m:sSub>
          <m:e>
            <m:r>
              <m:t>t</m:t>
            </m:r>
          </m:e>
          <m:sub>
            <m:r>
              <m:t>m</m:t>
            </m:r>
            <m:r>
              <m:t>i</m:t>
            </m:r>
            <m:r>
              <m:t>n</m:t>
            </m:r>
          </m:sub>
        </m:sSub>
      </m:oMath>
      <w:r>
        <w:t xml:space="preserve"> </w:t>
      </w:r>
      <w:r>
        <w:t xml:space="preserve">+ 3 min) to account for the rapid initial dissolution of P that occurs before the first measurement. In this mixed-effects framework, the overall mean values for</w:t>
      </w:r>
      <w:r>
        <w:t xml:space="preserve"> </w:t>
      </w:r>
      <m:oMath>
        <m:sSub>
          <m:e>
            <m:r>
              <m:t>P</m:t>
            </m:r>
          </m:e>
          <m:sub>
            <m:r>
              <m:t>d</m:t>
            </m:r>
            <m:r>
              <m:t>e</m:t>
            </m:r>
            <m:r>
              <m:t>s</m:t>
            </m:r>
            <m:r>
              <m:t>o</m:t>
            </m:r>
            <m:r>
              <m:t>r</m:t>
            </m:r>
            <m:r>
              <m:t>b</m:t>
            </m:r>
          </m:sub>
        </m:sSub>
      </m:oMath>
      <w:r>
        <w:t xml:space="preserve"> </w:t>
      </w:r>
      <w:r>
        <w:t xml:space="preserve">and</w:t>
      </w:r>
      <w:r>
        <w:t xml:space="preserve"> </w:t>
      </w:r>
      <w:r>
        <w:rPr>
          <w:i/>
          <w:iCs/>
        </w:rPr>
        <w:t xml:space="preserve">k</w:t>
      </w:r>
      <w:r>
        <w:t xml:space="preserve"> </w:t>
      </w:r>
      <w:r>
        <w:t xml:space="preserve">were modeled as</w:t>
      </w:r>
      <w:r>
        <w:t xml:space="preserve"> </w:t>
      </w:r>
      <w:r>
        <w:rPr>
          <w:b/>
          <w:bCs/>
        </w:rPr>
        <w:t xml:space="preserve">fixed effects</w:t>
      </w:r>
      <w:r>
        <w:t xml:space="preserve">, while sample-specific deviations from these fixed effects were modeled as</w:t>
      </w:r>
      <w:r>
        <w:t xml:space="preserve"> </w:t>
      </w:r>
      <w:r>
        <w:rPr>
          <w:b/>
          <w:bCs/>
        </w:rPr>
        <w:t xml:space="preserve">random effects</w:t>
      </w:r>
      <w:r>
        <w:t xml:space="preserve"> </w:t>
      </w:r>
      <w:r>
        <w:t xml:space="preserve">to capture the unique desorption characteristics of each individual soil sample.</w:t>
      </w:r>
    </w:p>
    <w:bookmarkEnd w:id="16"/>
    <w:bookmarkStart w:id="18" w:name="X7948ef6b44c07ffe5eee7eadbac8c6481287b2f"/>
    <w:p>
      <w:pPr>
        <w:pStyle w:val="Heading3"/>
      </w:pPr>
      <w:r>
        <w:t xml:space="preserve">1.4.3 Comparative Modeling of Soil and Agronomic Parameters</w:t>
      </w:r>
    </w:p>
    <w:p>
      <w:pPr>
        <w:pStyle w:val="FirstParagraph"/>
      </w:pPr>
      <w:r>
        <w:t xml:space="preserve">To test the hypotheses of this thesis, two distinct sets of linear mixed-effects models were constructed.</w:t>
      </w:r>
    </w:p>
    <w:p>
      <w:pPr>
        <w:pStyle w:val="SourceCode"/>
      </w:pPr>
      <w:r>
        <w:rPr>
          <w:rStyle w:val="NormalTok"/>
        </w:rPr>
        <w:t xml:space="preserve">variables_df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Abbreviation =</w:t>
      </w:r>
      <w:r>
        <w:rPr>
          <w:rStyle w:val="NormalTok"/>
        </w:rPr>
        <w:t xml:space="preserve"> </w:t>
      </w:r>
      <w:r>
        <w:rPr>
          <w:rStyle w:val="FunctionTok"/>
        </w:rPr>
        <w:t xml:space="preserve">c</w:t>
      </w:r>
      <w:r>
        <w:rPr>
          <w:rStyle w:val="NormalTok"/>
        </w:rPr>
        <w:t xml:space="preserve">(</w:t>
      </w:r>
      <w:r>
        <w:rPr>
          <w:rStyle w:val="StringTok"/>
        </w:rPr>
        <w:t xml:space="preserve">"$Y_{rel}$"</w:t>
      </w:r>
      <w:r>
        <w:rPr>
          <w:rStyle w:val="NormalTok"/>
        </w:rPr>
        <w:t xml:space="preserve">, </w:t>
      </w:r>
      <w:r>
        <w:rPr>
          <w:rStyle w:val="StringTok"/>
        </w:rPr>
        <w:t xml:space="preserve">"$Y_{norm}$"</w:t>
      </w:r>
      <w:r>
        <w:rPr>
          <w:rStyle w:val="NormalTok"/>
        </w:rPr>
        <w:t xml:space="preserve">, </w:t>
      </w:r>
      <w:r>
        <w:rPr>
          <w:rStyle w:val="StringTok"/>
        </w:rPr>
        <w:t xml:space="preserve">"$P_{up}$"</w:t>
      </w:r>
      <w:r>
        <w:rPr>
          <w:rStyle w:val="NormalTok"/>
        </w:rPr>
        <w:t xml:space="preserve">, </w:t>
      </w:r>
      <w:r>
        <w:rPr>
          <w:rStyle w:val="StringTok"/>
        </w:rPr>
        <w:t xml:space="preserve">"$P_{bal}$"</w:t>
      </w:r>
      <w:r>
        <w:rPr>
          <w:rStyle w:val="NormalTok"/>
        </w:rPr>
        <w:t xml:space="preserve">, </w:t>
      </w:r>
      <w:r>
        <w:br/>
      </w:r>
      <w:r>
        <w:rPr>
          <w:rStyle w:val="NormalTok"/>
        </w:rPr>
        <w:t xml:space="preserve">                   </w:t>
      </w:r>
      <w:r>
        <w:rPr>
          <w:rStyle w:val="StringTok"/>
        </w:rPr>
        <w:t xml:space="preserve">"$k$"</w:t>
      </w:r>
      <w:r>
        <w:rPr>
          <w:rStyle w:val="NormalTok"/>
        </w:rPr>
        <w:t xml:space="preserve">, </w:t>
      </w:r>
      <w:r>
        <w:rPr>
          <w:rStyle w:val="StringTok"/>
        </w:rPr>
        <w:t xml:space="preserve">"$P_{desorb}$"</w:t>
      </w:r>
      <w:r>
        <w:rPr>
          <w:rStyle w:val="NormalTok"/>
        </w:rPr>
        <w:t xml:space="preserve">, </w:t>
      </w:r>
      <w:r>
        <w:rPr>
          <w:rStyle w:val="StringTok"/>
        </w:rPr>
        <w:t xml:space="preserve">"$J_0$"</w:t>
      </w:r>
      <w:r>
        <w:rPr>
          <w:rStyle w:val="NormalTok"/>
        </w:rPr>
        <w:t xml:space="preserve">, </w:t>
      </w:r>
      <w:r>
        <w:br/>
      </w:r>
      <w:r>
        <w:rPr>
          <w:rStyle w:val="NormalTok"/>
        </w:rPr>
        <w:t xml:space="preserve">                   </w:t>
      </w:r>
      <w:r>
        <w:rPr>
          <w:rStyle w:val="StringTok"/>
        </w:rPr>
        <w:t xml:space="preserve">"$P_{CO2}$"</w:t>
      </w:r>
      <w:r>
        <w:rPr>
          <w:rStyle w:val="NormalTok"/>
        </w:rPr>
        <w:t xml:space="preserve">, </w:t>
      </w:r>
      <w:r>
        <w:rPr>
          <w:rStyle w:val="StringTok"/>
        </w:rPr>
        <w:t xml:space="preserve">"$P_{AAE10}$"</w:t>
      </w:r>
      <w:r>
        <w:rPr>
          <w:rStyle w:val="NormalTok"/>
        </w:rPr>
        <w:t xml:space="preserve">,</w:t>
      </w:r>
      <w:r>
        <w:br/>
      </w:r>
      <w:r>
        <w:rPr>
          <w:rStyle w:val="NormalTok"/>
        </w:rPr>
        <w:t xml:space="preserve">                   </w:t>
      </w:r>
      <w:r>
        <w:rPr>
          <w:rStyle w:val="StringTok"/>
        </w:rPr>
        <w:t xml:space="preserve">"$Al_d$"</w:t>
      </w:r>
      <w:r>
        <w:rPr>
          <w:rStyle w:val="NormalTok"/>
        </w:rPr>
        <w:t xml:space="preserve">, </w:t>
      </w:r>
      <w:r>
        <w:rPr>
          <w:rStyle w:val="StringTok"/>
        </w:rPr>
        <w:t xml:space="preserve">"$Fe_d$"</w:t>
      </w:r>
      <w:r>
        <w:rPr>
          <w:rStyle w:val="NormalTok"/>
        </w:rPr>
        <w:t xml:space="preserve">),</w:t>
      </w:r>
      <w:r>
        <w:br/>
      </w:r>
      <w:r>
        <w:rPr>
          <w:rStyle w:val="NormalTok"/>
        </w:rPr>
        <w:t xml:space="preserve">  </w:t>
      </w:r>
      <w:r>
        <w:rPr>
          <w:rStyle w:val="StringTok"/>
        </w:rPr>
        <w:t xml:space="preserve">`</w:t>
      </w:r>
      <w:r>
        <w:rPr>
          <w:rStyle w:val="AttributeTok"/>
        </w:rPr>
        <w:t xml:space="preserve">Variable</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StringTok"/>
        </w:rPr>
        <w:t xml:space="preserve">"Relative Yield"</w:t>
      </w:r>
      <w:r>
        <w:rPr>
          <w:rStyle w:val="NormalTok"/>
        </w:rPr>
        <w:t xml:space="preserve">, </w:t>
      </w:r>
      <w:r>
        <w:rPr>
          <w:rStyle w:val="StringTok"/>
        </w:rPr>
        <w:t xml:space="preserve">"Normalized Yield"</w:t>
      </w:r>
      <w:r>
        <w:rPr>
          <w:rStyle w:val="NormalTok"/>
        </w:rPr>
        <w:t xml:space="preserve">, </w:t>
      </w:r>
      <w:r>
        <w:rPr>
          <w:rStyle w:val="StringTok"/>
        </w:rPr>
        <w:t xml:space="preserve">"P Uptake"</w:t>
      </w:r>
      <w:r>
        <w:rPr>
          <w:rStyle w:val="NormalTok"/>
        </w:rPr>
        <w:t xml:space="preserve">, </w:t>
      </w:r>
      <w:r>
        <w:rPr>
          <w:rStyle w:val="StringTok"/>
        </w:rPr>
        <w:t xml:space="preserve">"P Balance"</w:t>
      </w:r>
      <w:r>
        <w:rPr>
          <w:rStyle w:val="NormalTok"/>
        </w:rPr>
        <w:t xml:space="preserve">, </w:t>
      </w:r>
      <w:r>
        <w:br/>
      </w:r>
      <w:r>
        <w:rPr>
          <w:rStyle w:val="NormalTok"/>
        </w:rPr>
        <w:t xml:space="preserve">                  </w:t>
      </w:r>
      <w:r>
        <w:rPr>
          <w:rStyle w:val="StringTok"/>
        </w:rPr>
        <w:t xml:space="preserve">"Rate Constant"</w:t>
      </w:r>
      <w:r>
        <w:rPr>
          <w:rStyle w:val="NormalTok"/>
        </w:rPr>
        <w:t xml:space="preserve">, </w:t>
      </w:r>
      <w:r>
        <w:rPr>
          <w:rStyle w:val="StringTok"/>
        </w:rPr>
        <w:t xml:space="preserve">"Desorbable P"</w:t>
      </w:r>
      <w:r>
        <w:rPr>
          <w:rStyle w:val="NormalTok"/>
        </w:rPr>
        <w:t xml:space="preserve">, </w:t>
      </w:r>
      <w:r>
        <w:rPr>
          <w:rStyle w:val="StringTok"/>
        </w:rPr>
        <w:t xml:space="preserve">"Initial P Flux"</w:t>
      </w:r>
      <w:r>
        <w:rPr>
          <w:rStyle w:val="NormalTok"/>
        </w:rPr>
        <w:t xml:space="preserve">, </w:t>
      </w:r>
      <w:r>
        <w:br/>
      </w:r>
      <w:r>
        <w:rPr>
          <w:rStyle w:val="NormalTok"/>
        </w:rPr>
        <w:t xml:space="preserve">                  </w:t>
      </w:r>
      <w:r>
        <w:rPr>
          <w:rStyle w:val="StringTok"/>
        </w:rPr>
        <w:t xml:space="preserve">"Water-Soluble P"</w:t>
      </w:r>
      <w:r>
        <w:rPr>
          <w:rStyle w:val="NormalTok"/>
        </w:rPr>
        <w:t xml:space="preserve">, </w:t>
      </w:r>
      <w:r>
        <w:rPr>
          <w:rStyle w:val="StringTok"/>
        </w:rPr>
        <w:t xml:space="preserve">"Chelate-Extractable P"</w:t>
      </w:r>
      <w:r>
        <w:rPr>
          <w:rStyle w:val="NormalTok"/>
        </w:rPr>
        <w:t xml:space="preserve">,</w:t>
      </w:r>
      <w:r>
        <w:br/>
      </w:r>
      <w:r>
        <w:rPr>
          <w:rStyle w:val="NormalTok"/>
        </w:rPr>
        <w:t xml:space="preserve">                  </w:t>
      </w:r>
      <w:r>
        <w:rPr>
          <w:rStyle w:val="StringTok"/>
        </w:rPr>
        <w:t xml:space="preserve">"Dithionite-Extractable Al"</w:t>
      </w:r>
      <w:r>
        <w:rPr>
          <w:rStyle w:val="NormalTok"/>
        </w:rPr>
        <w:t xml:space="preserve">, </w:t>
      </w:r>
      <w:r>
        <w:rPr>
          <w:rStyle w:val="StringTok"/>
        </w:rPr>
        <w:t xml:space="preserve">"Dithionite-Extractable Fe"</w:t>
      </w:r>
      <w:r>
        <w:rPr>
          <w:rStyle w:val="NormalTok"/>
        </w:rPr>
        <w:t xml:space="preserve">),</w:t>
      </w:r>
      <w:r>
        <w:br/>
      </w:r>
      <w:r>
        <w:rPr>
          <w:rStyle w:val="NormalTok"/>
        </w:rPr>
        <w:t xml:space="preserve">  </w:t>
      </w:r>
      <w:r>
        <w:rPr>
          <w:rStyle w:val="AttributeTok"/>
        </w:rPr>
        <w:t xml:space="preserve">Unit =</w:t>
      </w:r>
      <w:r>
        <w:rPr>
          <w:rStyle w:val="NormalTok"/>
        </w:rPr>
        <w:t xml:space="preserve"> </w:t>
      </w:r>
      <w:r>
        <w:rPr>
          <w:rStyle w:val="FunctionTok"/>
        </w:rPr>
        <w:t xml:space="preserve">c</w:t>
      </w:r>
      <w:r>
        <w:rPr>
          <w:rStyle w:val="NormalTok"/>
        </w:rPr>
        <w:t xml:space="preserve">(</w:t>
      </w:r>
      <w:r>
        <w:rPr>
          <w:rStyle w:val="StringTok"/>
        </w:rPr>
        <w:t xml:space="preserve">"unitless"</w:t>
      </w:r>
      <w:r>
        <w:rPr>
          <w:rStyle w:val="NormalTok"/>
        </w:rPr>
        <w:t xml:space="preserve">, </w:t>
      </w:r>
      <w:r>
        <w:rPr>
          <w:rStyle w:val="StringTok"/>
        </w:rPr>
        <w:t xml:space="preserve">"unitless"</w:t>
      </w:r>
      <w:r>
        <w:rPr>
          <w:rStyle w:val="NormalTok"/>
        </w:rPr>
        <w:t xml:space="preserve">, </w:t>
      </w:r>
      <w:r>
        <w:rPr>
          <w:rStyle w:val="StringTok"/>
        </w:rPr>
        <w:t xml:space="preserve">"kg P ha⁻¹"</w:t>
      </w:r>
      <w:r>
        <w:rPr>
          <w:rStyle w:val="NormalTok"/>
        </w:rPr>
        <w:t xml:space="preserve">, </w:t>
      </w:r>
      <w:r>
        <w:rPr>
          <w:rStyle w:val="StringTok"/>
        </w:rPr>
        <w:t xml:space="preserve">"kg P ha⁻¹"</w:t>
      </w:r>
      <w:r>
        <w:rPr>
          <w:rStyle w:val="NormalTok"/>
        </w:rPr>
        <w:t xml:space="preserve">,</w:t>
      </w:r>
      <w:r>
        <w:br/>
      </w:r>
      <w:r>
        <w:rPr>
          <w:rStyle w:val="NormalTok"/>
        </w:rPr>
        <w:t xml:space="preserve">           </w:t>
      </w:r>
      <w:r>
        <w:rPr>
          <w:rStyle w:val="StringTok"/>
        </w:rPr>
        <w:t xml:space="preserve">"min⁻¹"</w:t>
      </w:r>
      <w:r>
        <w:rPr>
          <w:rStyle w:val="NormalTok"/>
        </w:rPr>
        <w:t xml:space="preserve">, </w:t>
      </w:r>
      <w:r>
        <w:rPr>
          <w:rStyle w:val="StringTok"/>
        </w:rPr>
        <w:t xml:space="preserve">"mg P L⁻¹"</w:t>
      </w:r>
      <w:r>
        <w:rPr>
          <w:rStyle w:val="NormalTok"/>
        </w:rPr>
        <w:t xml:space="preserve">, </w:t>
      </w:r>
      <w:r>
        <w:rPr>
          <w:rStyle w:val="StringTok"/>
        </w:rPr>
        <w:t xml:space="preserve">"mg P L⁻¹ min⁻¹"</w:t>
      </w:r>
      <w:r>
        <w:rPr>
          <w:rStyle w:val="NormalTok"/>
        </w:rPr>
        <w:t xml:space="preserve">,</w:t>
      </w:r>
      <w:r>
        <w:br/>
      </w:r>
      <w:r>
        <w:rPr>
          <w:rStyle w:val="NormalTok"/>
        </w:rPr>
        <w:t xml:space="preserve">           </w:t>
      </w:r>
      <w:r>
        <w:rPr>
          <w:rStyle w:val="StringTok"/>
        </w:rPr>
        <w:t xml:space="preserve">"mg P kg⁻¹"</w:t>
      </w:r>
      <w:r>
        <w:rPr>
          <w:rStyle w:val="NormalTok"/>
        </w:rPr>
        <w:t xml:space="preserve">, </w:t>
      </w:r>
      <w:r>
        <w:rPr>
          <w:rStyle w:val="StringTok"/>
        </w:rPr>
        <w:t xml:space="preserve">"mg P kg⁻¹"</w:t>
      </w:r>
      <w:r>
        <w:rPr>
          <w:rStyle w:val="NormalTok"/>
        </w:rPr>
        <w:t xml:space="preserve">,</w:t>
      </w:r>
      <w:r>
        <w:br/>
      </w:r>
      <w:r>
        <w:rPr>
          <w:rStyle w:val="NormalTok"/>
        </w:rPr>
        <w:t xml:space="preserve">           </w:t>
      </w:r>
      <w:r>
        <w:rPr>
          <w:rStyle w:val="StringTok"/>
        </w:rPr>
        <w:t xml:space="preserve">"mg Al kg⁻¹"</w:t>
      </w:r>
      <w:r>
        <w:rPr>
          <w:rStyle w:val="NormalTok"/>
        </w:rPr>
        <w:t xml:space="preserve">, </w:t>
      </w:r>
      <w:r>
        <w:rPr>
          <w:rStyle w:val="StringTok"/>
        </w:rPr>
        <w:t xml:space="preserve">"mg Fe kg⁻¹"</w:t>
      </w:r>
      <w:r>
        <w:rPr>
          <w:rStyle w:val="NormalTok"/>
        </w:rPr>
        <w:t xml:space="preserve">),</w:t>
      </w:r>
      <w:r>
        <w:br/>
      </w:r>
      <w:r>
        <w:rPr>
          <w:rStyle w:val="NormalTok"/>
        </w:rPr>
        <w:t xml:space="preserve">  </w:t>
      </w:r>
      <w:r>
        <w:rPr>
          <w:rStyle w:val="AttributeTok"/>
        </w:rPr>
        <w:t xml:space="preserve">Description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"Plot yield normalized by the national mean yield for that year and crop."</w:t>
      </w:r>
      <w:r>
        <w:rPr>
          <w:rStyle w:val="NormalTok"/>
        </w:rPr>
        <w:t xml:space="preserve">,</w:t>
      </w:r>
      <w:r>
        <w:br/>
      </w:r>
      <w:r>
        <w:rPr>
          <w:rStyle w:val="NormalTok"/>
        </w:rPr>
        <w:t xml:space="preserve">    </w:t>
      </w:r>
      <w:r>
        <w:rPr>
          <w:rStyle w:val="StringTok"/>
        </w:rPr>
        <w:t xml:space="preserve">"Plot yield normalized by the site-specific median yield of the highest P treatment for that year and crop."</w:t>
      </w:r>
      <w:r>
        <w:rPr>
          <w:rStyle w:val="NormalTok"/>
        </w:rPr>
        <w:t xml:space="preserve">,</w:t>
      </w:r>
      <w:r>
        <w:br/>
      </w:r>
      <w:r>
        <w:rPr>
          <w:rStyle w:val="NormalTok"/>
        </w:rPr>
        <w:t xml:space="preserve">    </w:t>
      </w:r>
      <w:r>
        <w:rPr>
          <w:rStyle w:val="StringTok"/>
        </w:rPr>
        <w:t xml:space="preserve">"Total P removed by the harvested crop biomass over a growing season."</w:t>
      </w:r>
      <w:r>
        <w:rPr>
          <w:rStyle w:val="NormalTok"/>
        </w:rPr>
        <w:t xml:space="preserve">,</w:t>
      </w:r>
      <w:r>
        <w:br/>
      </w:r>
      <w:r>
        <w:rPr>
          <w:rStyle w:val="NormalTok"/>
        </w:rPr>
        <w:t xml:space="preserve">    </w:t>
      </w:r>
      <w:r>
        <w:rPr>
          <w:rStyle w:val="StringTok"/>
        </w:rPr>
        <w:t xml:space="preserve">"Net P budget, calculated as P inputs (fertilizer) minus P outputs (uptake)."</w:t>
      </w:r>
      <w:r>
        <w:rPr>
          <w:rStyle w:val="NormalTok"/>
        </w:rPr>
        <w:t xml:space="preserve">,</w:t>
      </w:r>
      <w:r>
        <w:br/>
      </w:r>
      <w:r>
        <w:rPr>
          <w:rStyle w:val="NormalTok"/>
        </w:rPr>
        <w:t xml:space="preserve">    </w:t>
      </w:r>
      <w:r>
        <w:rPr>
          <w:rStyle w:val="StringTok"/>
        </w:rPr>
        <w:t xml:space="preserve">"First-order rate constant of P desorption, representing the speed of P release."</w:t>
      </w:r>
      <w:r>
        <w:rPr>
          <w:rStyle w:val="NormalTok"/>
        </w:rPr>
        <w:t xml:space="preserve">,</w:t>
      </w:r>
      <w:r>
        <w:br/>
      </w:r>
      <w:r>
        <w:rPr>
          <w:rStyle w:val="NormalTok"/>
        </w:rPr>
        <w:t xml:space="preserve">    </w:t>
      </w:r>
      <w:r>
        <w:rPr>
          <w:rStyle w:val="StringTok"/>
        </w:rPr>
        <w:t xml:space="preserve">"Maximum desorbable P, representing the size of the readily available P pool."</w:t>
      </w:r>
      <w:r>
        <w:rPr>
          <w:rStyle w:val="NormalTok"/>
        </w:rPr>
        <w:t xml:space="preserve">,</w:t>
      </w:r>
      <w:r>
        <w:br/>
      </w:r>
      <w:r>
        <w:rPr>
          <w:rStyle w:val="NormalTok"/>
        </w:rPr>
        <w:t xml:space="preserve">    </w:t>
      </w:r>
      <w:r>
        <w:rPr>
          <w:rStyle w:val="StringTok"/>
        </w:rPr>
        <w:t xml:space="preserve">"Product of $k$ and $P_{desorb}$, representing the initial flux of P from the soil."</w:t>
      </w:r>
      <w:r>
        <w:rPr>
          <w:rStyle w:val="NormalTok"/>
        </w:rPr>
        <w:t xml:space="preserve">,</w:t>
      </w:r>
      <w:r>
        <w:br/>
      </w:r>
      <w:r>
        <w:rPr>
          <w:rStyle w:val="NormalTok"/>
        </w:rPr>
        <w:t xml:space="preserve">    </w:t>
      </w:r>
      <w:r>
        <w:rPr>
          <w:rStyle w:val="StringTok"/>
        </w:rPr>
        <w:t xml:space="preserve">"Plant-available P measured by CO₂-saturated water extraction [@FAL1996Methodenbuch]."</w:t>
      </w:r>
      <w:r>
        <w:rPr>
          <w:rStyle w:val="NormalTok"/>
        </w:rPr>
        <w:t xml:space="preserve">,</w:t>
      </w:r>
      <w:r>
        <w:br/>
      </w:r>
      <w:r>
        <w:rPr>
          <w:rStyle w:val="NormalTok"/>
        </w:rPr>
        <w:t xml:space="preserve">    </w:t>
      </w:r>
      <w:r>
        <w:rPr>
          <w:rStyle w:val="StringTok"/>
        </w:rPr>
        <w:t xml:space="preserve">"Plant-available P measured by the ammonium-acetate-EDTA extraction method [@FAL1996Methodenbuch]."</w:t>
      </w:r>
      <w:r>
        <w:rPr>
          <w:rStyle w:val="NormalTok"/>
        </w:rPr>
        <w:t xml:space="preserve">,</w:t>
      </w:r>
      <w:r>
        <w:br/>
      </w:r>
      <w:r>
        <w:rPr>
          <w:rStyle w:val="NormalTok"/>
        </w:rPr>
        <w:t xml:space="preserve">    </w:t>
      </w:r>
      <w:r>
        <w:rPr>
          <w:rStyle w:val="StringTok"/>
        </w:rPr>
        <w:t xml:space="preserve">"Free Al oxides (crystalline and amorphous) extracted with dithionite-citrate-bicarbonate [@Mehra1960Iron]."</w:t>
      </w:r>
      <w:r>
        <w:rPr>
          <w:rStyle w:val="NormalTok"/>
        </w:rPr>
        <w:t xml:space="preserve">,</w:t>
      </w:r>
      <w:r>
        <w:br/>
      </w:r>
      <w:r>
        <w:rPr>
          <w:rStyle w:val="NormalTok"/>
        </w:rPr>
        <w:t xml:space="preserve">    </w:t>
      </w:r>
      <w:r>
        <w:rPr>
          <w:rStyle w:val="StringTok"/>
        </w:rPr>
        <w:t xml:space="preserve">"Free Fe oxides (crystalline and amorphous) extracted with dithionite-citrate-bicarbonate [@Mehra1960Iron]."</w:t>
      </w:r>
      <w:r>
        <w:br/>
      </w:r>
      <w:r>
        <w:rPr>
          <w:rStyle w:val="NormalTok"/>
        </w:rPr>
        <w:t xml:space="preserve">  )</w:t>
      </w:r>
      <w:r>
        <w:br/>
      </w:r>
      <w:r>
        <w:rPr>
          <w:rStyle w:val="NormalTok"/>
        </w:rPr>
        <w:t xml:space="preserve">)</w:t>
      </w:r>
      <w:r>
        <w:br/>
      </w:r>
      <w:r>
        <w:br/>
      </w:r>
      <w:r>
        <w:rPr>
          <w:rStyle w:val="NormalTok"/>
        </w:rPr>
        <w:t xml:space="preserve">knitr</w:t>
      </w:r>
      <w:r>
        <w:rPr>
          <w:rStyle w:val="SpecialCharTok"/>
        </w:rPr>
        <w:t xml:space="preserve">::</w:t>
      </w:r>
      <w:r>
        <w:rPr>
          <w:rStyle w:val="FunctionTok"/>
        </w:rPr>
        <w:t xml:space="preserve">kable</w:t>
      </w:r>
      <w:r>
        <w:rPr>
          <w:rStyle w:val="NormalTok"/>
        </w:rPr>
        <w:t xml:space="preserve">(variables_df)</w:t>
      </w:r>
    </w:p>
    <w:tbl>
      <w:tblPr>
        <w:tblStyle w:val="Table"/>
        <w:tblW w:type="pct" w:w="5000"/>
        <w:tblLayout w:type="fixed"/>
        <w:tblLook w:firstRow="0" w:lastRow="0" w:firstColumn="0" w:lastColumn="0" w:noHBand="0" w:noVBand="0" w:val="0000"/>
      </w:tblPr>
      <w:tblGrid>
        <w:gridCol w:w="7920"/>
      </w:tblGrid>
      <w:tr>
        <w:tc>
          <w:tcPr/>
          <w:bookmarkStart w:id="17" w:name="tbl-variables"/>
          <w:p>
            <w:pPr>
              <w:jc w:val="center"/>
            </w:pPr>
            <w:pPr>
              <w:jc w:val="left"/>
              <w:spacing w:before="200"/>
              <w:pStyle w:val="ImageCaption"/>
            </w:pPr>
            <w:r>
              <w:t xml:space="preserve">Table 2: Description of variables used in the agronomic and soil models.</w:t>
            </w:r>
          </w:p>
          <w:tbl>
            <w:tblPr>
              <w:tblStyle w:val="Table"/>
              <w:tblW w:type="pct" w:w="5000"/>
              <w:tblLayout w:type="fixed"/>
              <w:tblLook w:firstRow="1" w:lastRow="0" w:firstColumn="0" w:lastColumn="0" w:noHBand="0" w:noVBand="0" w:val="0020"/>
            </w:tblPr>
            <w:tblGrid>
              <w:gridCol w:w="639"/>
              <w:gridCol w:w="1279"/>
              <w:gridCol w:w="737"/>
              <w:gridCol w:w="5263"/>
            </w:tblGrid>
            <w:tr>
              <w:trPr>
                <w:tblHeader w:val="on"/>
              </w:trPr>
              <w:tc>
                <w:tcPr/>
                <w:p>
                  <w:pPr>
                    <w:pStyle w:val="Compact"/>
                    <w:jc w:val="left"/>
                    <w:jc w:val="center"/>
                  </w:pPr>
                  <w:r>
                    <w:t xml:space="preserve">Abbreviation</w:t>
                  </w:r>
                </w:p>
              </w:tc>
              <w:tc>
                <w:tcPr/>
                <w:p>
                  <w:pPr>
                    <w:pStyle w:val="Compact"/>
                    <w:jc w:val="left"/>
                    <w:jc w:val="center"/>
                  </w:pPr>
                  <w:r>
                    <w:t xml:space="preserve">Variable</w:t>
                  </w:r>
                </w:p>
              </w:tc>
              <w:tc>
                <w:tcPr/>
                <w:p>
                  <w:pPr>
                    <w:pStyle w:val="Compact"/>
                    <w:jc w:val="left"/>
                    <w:jc w:val="center"/>
                  </w:pPr>
                  <w:r>
                    <w:t xml:space="preserve">Unit</w:t>
                  </w:r>
                </w:p>
              </w:tc>
              <w:tc>
                <w:tcPr/>
                <w:p>
                  <w:pPr>
                    <w:pStyle w:val="Compact"/>
                    <w:jc w:val="left"/>
                    <w:jc w:val="center"/>
                  </w:pPr>
                  <w:r>
                    <w:t xml:space="preserve">Description</w:t>
                  </w:r>
                </w:p>
              </w:tc>
            </w:tr>
            <w:tr>
              <w:tc>
                <w:tcPr/>
                <w:p>
                  <w:pPr>
                    <w:pStyle w:val="Compact"/>
                    <w:jc w:val="left"/>
                    <w:jc w:val="center"/>
                  </w:pPr>
                  <m:oMath>
                    <m:sSub>
                      <m:e>
                        <m:r>
                          <m:t>Y</m:t>
                        </m:r>
                      </m:e>
                      <m:sub>
                        <m:r>
                          <m:t>r</m:t>
                        </m:r>
                        <m:r>
                          <m:t>e</m:t>
                        </m:r>
                        <m:r>
                          <m:t>l</m:t>
                        </m:r>
                      </m:sub>
                    </m:sSub>
                  </m:oMath>
                </w:p>
              </w:tc>
              <w:tc>
                <w:tcPr/>
                <w:p>
                  <w:pPr>
                    <w:pStyle w:val="Compact"/>
                    <w:jc w:val="left"/>
                    <w:jc w:val="center"/>
                  </w:pPr>
                  <w:r>
                    <w:t xml:space="preserve">Relative Yield</w:t>
                  </w:r>
                </w:p>
              </w:tc>
              <w:tc>
                <w:tcPr/>
                <w:p>
                  <w:pPr>
                    <w:pStyle w:val="Compact"/>
                    <w:jc w:val="left"/>
                    <w:jc w:val="center"/>
                  </w:pPr>
                  <w:r>
                    <w:t xml:space="preserve">unitless</w:t>
                  </w:r>
                </w:p>
              </w:tc>
              <w:tc>
                <w:tcPr/>
                <w:p>
                  <w:pPr>
                    <w:pStyle w:val="Compact"/>
                    <w:jc w:val="left"/>
                    <w:jc w:val="center"/>
                  </w:pPr>
                  <w:r>
                    <w:t xml:space="preserve">Plot yield normalized by the national mean yield for that year and crop.</w:t>
                  </w:r>
                </w:p>
              </w:tc>
            </w:tr>
            <w:tr>
              <w:tc>
                <w:tcPr/>
                <w:p>
                  <w:pPr>
                    <w:pStyle w:val="Compact"/>
                    <w:jc w:val="left"/>
                    <w:jc w:val="center"/>
                  </w:pPr>
                  <m:oMath>
                    <m:sSub>
                      <m:e>
                        <m:r>
                          <m:t>Y</m:t>
                        </m:r>
                      </m:e>
                      <m:sub>
                        <m:r>
                          <m:t>n</m:t>
                        </m:r>
                        <m:r>
                          <m:t>o</m:t>
                        </m:r>
                        <m:r>
                          <m:t>r</m:t>
                        </m:r>
                        <m:r>
                          <m:t>m</m:t>
                        </m:r>
                      </m:sub>
                    </m:sSub>
                  </m:oMath>
                </w:p>
              </w:tc>
              <w:tc>
                <w:tcPr/>
                <w:p>
                  <w:pPr>
                    <w:pStyle w:val="Compact"/>
                    <w:jc w:val="left"/>
                    <w:jc w:val="center"/>
                  </w:pPr>
                  <w:r>
                    <w:t xml:space="preserve">Normalized Yield</w:t>
                  </w:r>
                </w:p>
              </w:tc>
              <w:tc>
                <w:tcPr/>
                <w:p>
                  <w:pPr>
                    <w:pStyle w:val="Compact"/>
                    <w:jc w:val="left"/>
                    <w:jc w:val="center"/>
                  </w:pPr>
                  <w:r>
                    <w:t xml:space="preserve">unitless</w:t>
                  </w:r>
                </w:p>
              </w:tc>
              <w:tc>
                <w:tcPr/>
                <w:p>
                  <w:pPr>
                    <w:pStyle w:val="Compact"/>
                    <w:jc w:val="left"/>
                    <w:jc w:val="center"/>
                  </w:pPr>
                  <w:r>
                    <w:t xml:space="preserve">Plot yield normalized by the site-specific median yield of the highest P treatment for that year and crop.</w:t>
                  </w:r>
                </w:p>
              </w:tc>
            </w:tr>
            <w:tr>
              <w:tc>
                <w:tcPr/>
                <w:p>
                  <w:pPr>
                    <w:pStyle w:val="Compact"/>
                    <w:jc w:val="left"/>
                    <w:jc w:val="center"/>
                  </w:pPr>
                  <m:oMath>
                    <m:sSub>
                      <m:e>
                        <m:r>
                          <m:t>P</m:t>
                        </m:r>
                      </m:e>
                      <m:sub>
                        <m:r>
                          <m:t>u</m:t>
                        </m:r>
                        <m:r>
                          <m:t>p</m:t>
                        </m:r>
                      </m:sub>
                    </m:sSub>
                  </m:oMath>
                </w:p>
              </w:tc>
              <w:tc>
                <w:tcPr/>
                <w:p>
                  <w:pPr>
                    <w:pStyle w:val="Compact"/>
                    <w:jc w:val="left"/>
                    <w:jc w:val="center"/>
                  </w:pPr>
                  <w:r>
                    <w:t xml:space="preserve">P Uptake</w:t>
                  </w:r>
                </w:p>
              </w:tc>
              <w:tc>
                <w:tcPr/>
                <w:p>
                  <w:pPr>
                    <w:pStyle w:val="Compact"/>
                    <w:jc w:val="left"/>
                    <w:jc w:val="center"/>
                  </w:pPr>
                  <w:r>
                    <w:t xml:space="preserve">kg P ha⁻¹</w:t>
                  </w:r>
                </w:p>
              </w:tc>
              <w:tc>
                <w:tcPr/>
                <w:p>
                  <w:pPr>
                    <w:pStyle w:val="Compact"/>
                    <w:jc w:val="left"/>
                    <w:jc w:val="center"/>
                  </w:pPr>
                  <w:r>
                    <w:t xml:space="preserve">Total P removed by the harvested crop biomass over a growing season.</w:t>
                  </w:r>
                </w:p>
              </w:tc>
            </w:tr>
            <w:tr>
              <w:tc>
                <w:tcPr/>
                <w:p>
                  <w:pPr>
                    <w:pStyle w:val="Compact"/>
                    <w:jc w:val="left"/>
                    <w:jc w:val="center"/>
                  </w:pPr>
                  <m:oMath>
                    <m:sSub>
                      <m:e>
                        <m:r>
                          <m:t>P</m:t>
                        </m:r>
                      </m:e>
                      <m:sub>
                        <m:r>
                          <m:t>b</m:t>
                        </m:r>
                        <m:r>
                          <m:t>a</m:t>
                        </m:r>
                        <m:r>
                          <m:t>l</m:t>
                        </m:r>
                      </m:sub>
                    </m:sSub>
                  </m:oMath>
                </w:p>
              </w:tc>
              <w:tc>
                <w:tcPr/>
                <w:p>
                  <w:pPr>
                    <w:pStyle w:val="Compact"/>
                    <w:jc w:val="left"/>
                    <w:jc w:val="center"/>
                  </w:pPr>
                  <w:r>
                    <w:t xml:space="preserve">P Balance</w:t>
                  </w:r>
                </w:p>
              </w:tc>
              <w:tc>
                <w:tcPr/>
                <w:p>
                  <w:pPr>
                    <w:pStyle w:val="Compact"/>
                    <w:jc w:val="left"/>
                    <w:jc w:val="center"/>
                  </w:pPr>
                  <w:r>
                    <w:t xml:space="preserve">kg P ha⁻¹</w:t>
                  </w:r>
                </w:p>
              </w:tc>
              <w:tc>
                <w:tcPr/>
                <w:p>
                  <w:pPr>
                    <w:pStyle w:val="Compact"/>
                    <w:jc w:val="left"/>
                    <w:jc w:val="center"/>
                  </w:pPr>
                  <w:r>
                    <w:t xml:space="preserve">Net P budget, calculated as P inputs (fertilizer) minus P outputs (uptake).</w:t>
                  </w:r>
                </w:p>
              </w:tc>
            </w:tr>
            <w:tr>
              <w:tc>
                <w:tcPr/>
                <w:p>
                  <w:pPr>
                    <w:pStyle w:val="Compact"/>
                    <w:jc w:val="left"/>
                    <w:jc w:val="center"/>
                  </w:pPr>
                  <m:oMath>
                    <m:r>
                      <m:t>k</m:t>
                    </m:r>
                  </m:oMath>
                </w:p>
              </w:tc>
              <w:tc>
                <w:tcPr/>
                <w:p>
                  <w:pPr>
                    <w:pStyle w:val="Compact"/>
                    <w:jc w:val="left"/>
                    <w:jc w:val="center"/>
                  </w:pPr>
                  <w:r>
                    <w:t xml:space="preserve">Rate Constant</w:t>
                  </w:r>
                </w:p>
              </w:tc>
              <w:tc>
                <w:tcPr/>
                <w:p>
                  <w:pPr>
                    <w:pStyle w:val="Compact"/>
                    <w:jc w:val="left"/>
                    <w:jc w:val="center"/>
                  </w:pPr>
                  <w:r>
                    <w:t xml:space="preserve">min⁻¹</w:t>
                  </w:r>
                </w:p>
              </w:tc>
              <w:tc>
                <w:tcPr/>
                <w:p>
                  <w:pPr>
                    <w:pStyle w:val="Compact"/>
                    <w:jc w:val="left"/>
                    <w:jc w:val="center"/>
                  </w:pPr>
                  <w:r>
                    <w:t xml:space="preserve">First-order rate constant of P desorption, representing the speed of P release.</w:t>
                  </w:r>
                </w:p>
              </w:tc>
            </w:tr>
            <w:tr>
              <w:tc>
                <w:tcPr/>
                <w:p>
                  <w:pPr>
                    <w:pStyle w:val="Compact"/>
                    <w:jc w:val="left"/>
                    <w:jc w:val="center"/>
                  </w:pPr>
                  <m:oMath>
                    <m:sSub>
                      <m:e>
                        <m:r>
                          <m:t>P</m:t>
                        </m:r>
                      </m:e>
                      <m:sub>
                        <m:r>
                          <m:t>d</m:t>
                        </m:r>
                        <m:r>
                          <m:t>e</m:t>
                        </m:r>
                        <m:r>
                          <m:t>s</m:t>
                        </m:r>
                        <m:r>
                          <m:t>o</m:t>
                        </m:r>
                        <m:r>
                          <m:t>r</m:t>
                        </m:r>
                        <m:r>
                          <m:t>b</m:t>
                        </m:r>
                      </m:sub>
                    </m:sSub>
                  </m:oMath>
                </w:p>
              </w:tc>
              <w:tc>
                <w:tcPr/>
                <w:p>
                  <w:pPr>
                    <w:pStyle w:val="Compact"/>
                    <w:jc w:val="left"/>
                    <w:jc w:val="center"/>
                  </w:pPr>
                  <w:r>
                    <w:t xml:space="preserve">Desorbable P</w:t>
                  </w:r>
                </w:p>
              </w:tc>
              <w:tc>
                <w:tcPr/>
                <w:p>
                  <w:pPr>
                    <w:pStyle w:val="Compact"/>
                    <w:jc w:val="left"/>
                    <w:jc w:val="center"/>
                  </w:pPr>
                  <w:r>
                    <w:t xml:space="preserve">mg P L⁻¹</w:t>
                  </w:r>
                </w:p>
              </w:tc>
              <w:tc>
                <w:tcPr/>
                <w:p>
                  <w:pPr>
                    <w:pStyle w:val="Compact"/>
                    <w:jc w:val="left"/>
                    <w:jc w:val="center"/>
                  </w:pPr>
                  <w:r>
                    <w:t xml:space="preserve">Maximum desorbable P, representing the size of the readily available P pool.</w:t>
                  </w:r>
                </w:p>
              </w:tc>
            </w:tr>
            <w:tr>
              <w:tc>
                <w:tcPr/>
                <w:p>
                  <w:pPr>
                    <w:pStyle w:val="Compact"/>
                    <w:jc w:val="left"/>
                    <w:jc w:val="center"/>
                  </w:pPr>
                  <m:oMath>
                    <m:sSub>
                      <m:e>
                        <m:r>
                          <m:t>J</m:t>
                        </m:r>
                      </m:e>
                      <m:sub>
                        <m:r>
                          <m:t>0</m:t>
                        </m:r>
                      </m:sub>
                    </m:sSub>
                  </m:oMath>
                </w:p>
              </w:tc>
              <w:tc>
                <w:tcPr/>
                <w:p>
                  <w:pPr>
                    <w:pStyle w:val="Compact"/>
                    <w:jc w:val="left"/>
                    <w:jc w:val="center"/>
                  </w:pPr>
                  <w:r>
                    <w:t xml:space="preserve">Initial P Flux</w:t>
                  </w:r>
                </w:p>
              </w:tc>
              <w:tc>
                <w:tcPr/>
                <w:p>
                  <w:pPr>
                    <w:pStyle w:val="Compact"/>
                    <w:jc w:val="left"/>
                    <w:jc w:val="center"/>
                  </w:pPr>
                  <w:r>
                    <w:t xml:space="preserve">mg P L⁻¹ min⁻¹</w:t>
                  </w:r>
                </w:p>
              </w:tc>
              <w:tc>
                <w:tcPr/>
                <w:p>
                  <w:pPr>
                    <w:pStyle w:val="Compact"/>
                    <w:jc w:val="left"/>
                    <w:jc w:val="center"/>
                  </w:pPr>
                  <w:r>
                    <w:t xml:space="preserve">Product of</w:t>
                  </w:r>
                  <w:r>
                    <w:t xml:space="preserve"> </w:t>
                  </w:r>
                  <m:oMath>
                    <m:r>
                      <m:t>k</m:t>
                    </m:r>
                  </m:oMath>
                  <w:r>
                    <w:t xml:space="preserve"> </w:t>
                  </w:r>
                  <w:r>
                    <w:t xml:space="preserve">and</w:t>
                  </w:r>
                  <w:r>
                    <w:t xml:space="preserve"> </w:t>
                  </w:r>
                  <m:oMath>
                    <m:sSub>
                      <m:e>
                        <m:r>
                          <m:t>P</m:t>
                        </m:r>
                      </m:e>
                      <m:sub>
                        <m:r>
                          <m:t>d</m:t>
                        </m:r>
                        <m:r>
                          <m:t>e</m:t>
                        </m:r>
                        <m:r>
                          <m:t>s</m:t>
                        </m:r>
                        <m:r>
                          <m:t>o</m:t>
                        </m:r>
                        <m:r>
                          <m:t>r</m:t>
                        </m:r>
                        <m:r>
                          <m:t>b</m:t>
                        </m:r>
                      </m:sub>
                    </m:sSub>
                  </m:oMath>
                  <w:r>
                    <w:t xml:space="preserve">, representing the initial flux of P from the soil.</w:t>
                  </w:r>
                </w:p>
              </w:tc>
            </w:tr>
            <w:tr>
              <w:tc>
                <w:tcPr/>
                <w:p>
                  <w:pPr>
                    <w:pStyle w:val="Compact"/>
                    <w:jc w:val="left"/>
                    <w:jc w:val="center"/>
                  </w:pPr>
                  <m:oMath>
                    <m:sSub>
                      <m:e>
                        <m:r>
                          <m:t>P</m:t>
                        </m:r>
                      </m:e>
                      <m:sub>
                        <m:r>
                          <m:t>C</m:t>
                        </m:r>
                        <m:r>
                          <m:t>O</m:t>
                        </m:r>
                        <m:r>
                          <m:t>2</m:t>
                        </m:r>
                      </m:sub>
                    </m:sSub>
                  </m:oMath>
                </w:p>
              </w:tc>
              <w:tc>
                <w:tcPr/>
                <w:p>
                  <w:pPr>
                    <w:pStyle w:val="Compact"/>
                    <w:jc w:val="left"/>
                    <w:jc w:val="center"/>
                  </w:pPr>
                  <w:r>
                    <w:t xml:space="preserve">Water-Soluble P</w:t>
                  </w:r>
                </w:p>
              </w:tc>
              <w:tc>
                <w:tcPr/>
                <w:p>
                  <w:pPr>
                    <w:pStyle w:val="Compact"/>
                    <w:jc w:val="left"/>
                    <w:jc w:val="center"/>
                  </w:pPr>
                  <w:r>
                    <w:t xml:space="preserve">mg P kg⁻¹</w:t>
                  </w:r>
                </w:p>
              </w:tc>
              <w:tc>
                <w:tcPr/>
                <w:p>
                  <w:pPr>
                    <w:pStyle w:val="Compact"/>
                    <w:jc w:val="left"/>
                    <w:jc w:val="center"/>
                  </w:pPr>
                  <w:r>
                    <w:t xml:space="preserve">Plant-available P measured by CO₂-saturated water extraction</w:t>
                  </w:r>
                  <w:r>
                    <w:t xml:space="preserve"> </w:t>
                  </w:r>
                  <w:r>
                    <w:t xml:space="preserve">(Forschungsanstalt für Agrarökologie und Landbau (FAL), 1996)</w:t>
                  </w:r>
                  <w:r>
                    <w:t xml:space="preserve">.</w:t>
                  </w:r>
                </w:p>
              </w:tc>
            </w:tr>
            <w:tr>
              <w:tc>
                <w:tcPr/>
                <w:p>
                  <w:pPr>
                    <w:pStyle w:val="Compact"/>
                    <w:jc w:val="left"/>
                    <w:jc w:val="center"/>
                  </w:pPr>
                  <m:oMath>
                    <m:sSub>
                      <m:e>
                        <m:r>
                          <m:t>P</m:t>
                        </m:r>
                      </m:e>
                      <m:sub>
                        <m:r>
                          <m:t>A</m:t>
                        </m:r>
                        <m:r>
                          <m:t>A</m:t>
                        </m:r>
                        <m:r>
                          <m:t>E</m:t>
                        </m:r>
                        <m:r>
                          <m:t>10</m:t>
                        </m:r>
                      </m:sub>
                    </m:sSub>
                  </m:oMath>
                </w:p>
              </w:tc>
              <w:tc>
                <w:tcPr/>
                <w:p>
                  <w:pPr>
                    <w:pStyle w:val="Compact"/>
                    <w:jc w:val="left"/>
                    <w:jc w:val="center"/>
                  </w:pPr>
                  <w:r>
                    <w:t xml:space="preserve">Chelate-Extractable P</w:t>
                  </w:r>
                </w:p>
              </w:tc>
              <w:tc>
                <w:tcPr/>
                <w:p>
                  <w:pPr>
                    <w:pStyle w:val="Compact"/>
                    <w:jc w:val="left"/>
                    <w:jc w:val="center"/>
                  </w:pPr>
                  <w:r>
                    <w:t xml:space="preserve">mg P kg⁻¹</w:t>
                  </w:r>
                </w:p>
              </w:tc>
              <w:tc>
                <w:tcPr/>
                <w:p>
                  <w:pPr>
                    <w:pStyle w:val="Compact"/>
                    <w:jc w:val="left"/>
                    <w:jc w:val="center"/>
                  </w:pPr>
                  <w:r>
                    <w:t xml:space="preserve">Plant-available P measured by the ammonium-acetate-EDTA extraction method</w:t>
                  </w:r>
                  <w:r>
                    <w:t xml:space="preserve"> </w:t>
                  </w:r>
                  <w:r>
                    <w:t xml:space="preserve">(Forschungsanstalt für Agrarökologie und Landbau (FAL), 1996)</w:t>
                  </w:r>
                  <w:r>
                    <w:t xml:space="preserve">.</w:t>
                  </w:r>
                </w:p>
              </w:tc>
            </w:tr>
            <w:tr>
              <w:tc>
                <w:tcPr/>
                <w:p>
                  <w:pPr>
                    <w:pStyle w:val="Compact"/>
                    <w:jc w:val="left"/>
                    <w:jc w:val="center"/>
                  </w:pPr>
                  <m:oMath>
                    <m:r>
                      <m:t>A</m:t>
                    </m:r>
                    <m:sSub>
                      <m:e>
                        <m:r>
                          <m:t>l</m:t>
                        </m:r>
                      </m:e>
                      <m:sub>
                        <m:r>
                          <m:t>d</m:t>
                        </m:r>
                      </m:sub>
                    </m:sSub>
                  </m:oMath>
                </w:p>
              </w:tc>
              <w:tc>
                <w:tcPr/>
                <w:p>
                  <w:pPr>
                    <w:pStyle w:val="Compact"/>
                    <w:jc w:val="left"/>
                    <w:jc w:val="center"/>
                  </w:pPr>
                  <w:r>
                    <w:t xml:space="preserve">Dithionite-Extractable Al</w:t>
                  </w:r>
                </w:p>
              </w:tc>
              <w:tc>
                <w:tcPr/>
                <w:p>
                  <w:pPr>
                    <w:pStyle w:val="Compact"/>
                    <w:jc w:val="left"/>
                    <w:jc w:val="center"/>
                  </w:pPr>
                  <w:r>
                    <w:t xml:space="preserve">mg Al kg⁻¹</w:t>
                  </w:r>
                </w:p>
              </w:tc>
              <w:tc>
                <w:tcPr/>
                <w:p>
                  <w:pPr>
                    <w:pStyle w:val="Compact"/>
                    <w:jc w:val="left"/>
                    <w:jc w:val="center"/>
                  </w:pPr>
                  <w:r>
                    <w:t xml:space="preserve">Free Al oxides (crystalline and amorphous) extracted with dithionite-citrate-bicarbonate</w:t>
                  </w:r>
                  <w:r>
                    <w:t xml:space="preserve"> </w:t>
                  </w:r>
                  <w:r>
                    <w:t xml:space="preserve">(Mehra &amp; Jackson, 1960)</w:t>
                  </w:r>
                  <w:r>
                    <w:t xml:space="preserve">.</w:t>
                  </w:r>
                </w:p>
              </w:tc>
            </w:tr>
            <w:tr>
              <w:tc>
                <w:tcPr/>
                <w:p>
                  <w:pPr>
                    <w:pStyle w:val="Compact"/>
                    <w:jc w:val="left"/>
                    <w:jc w:val="center"/>
                  </w:pPr>
                  <m:oMath>
                    <m:r>
                      <m:t>F</m:t>
                    </m:r>
                    <m:sSub>
                      <m:e>
                        <m:r>
                          <m:t>e</m:t>
                        </m:r>
                      </m:e>
                      <m:sub>
                        <m:r>
                          <m:t>d</m:t>
                        </m:r>
                      </m:sub>
                    </m:sSub>
                  </m:oMath>
                </w:p>
              </w:tc>
              <w:tc>
                <w:tcPr/>
                <w:p>
                  <w:pPr>
                    <w:pStyle w:val="Compact"/>
                    <w:jc w:val="left"/>
                    <w:jc w:val="center"/>
                  </w:pPr>
                  <w:r>
                    <w:t xml:space="preserve">Dithionite-Extractable Fe</w:t>
                  </w:r>
                </w:p>
              </w:tc>
              <w:tc>
                <w:tcPr/>
                <w:p>
                  <w:pPr>
                    <w:pStyle w:val="Compact"/>
                    <w:jc w:val="left"/>
                    <w:jc w:val="center"/>
                  </w:pPr>
                  <w:r>
                    <w:t xml:space="preserve">mg Fe kg⁻¹</w:t>
                  </w:r>
                </w:p>
              </w:tc>
              <w:tc>
                <w:tcPr/>
                <w:p>
                  <w:pPr>
                    <w:pStyle w:val="Compact"/>
                    <w:jc w:val="left"/>
                    <w:jc w:val="center"/>
                  </w:pPr>
                  <w:r>
                    <w:t xml:space="preserve">Free Fe oxides (crystalline and amorphous) extracted with dithionite-citrate-bicarbonate</w:t>
                  </w:r>
                  <w:r>
                    <w:t xml:space="preserve"> </w:t>
                  </w:r>
                  <w:r>
                    <w:t xml:space="preserve">(Mehra &amp; Jackson, 1960)</w:t>
                  </w:r>
                  <w:r>
                    <w:t xml:space="preserve">.</w:t>
                  </w:r>
                </w:p>
              </w:tc>
            </w:tr>
          </w:tbl>
          <w:bookmarkEnd w:id="17"/>
          <w:p/>
        </w:tc>
      </w:tr>
    </w:tbl>
    <w:bookmarkEnd w:id="18"/>
    <w:bookmarkStart w:id="38" w:name="model-assumptions-and-diagnostics"/>
    <w:p>
      <w:pPr>
        <w:pStyle w:val="Heading3"/>
      </w:pPr>
      <w:r>
        <w:t xml:space="preserve">1.4.4 Model Assumptions and Diagnostics</w:t>
      </w:r>
    </w:p>
    <w:p>
      <w:pPr>
        <w:pStyle w:val="FirstParagraph"/>
      </w:pPr>
      <w:r>
        <w:t xml:space="preserve">The validity of the linear mixed-effects models (</w:t>
      </w:r>
      <w:r>
        <w:rPr>
          <w:rStyle w:val="VerbatimChar"/>
        </w:rPr>
        <w:t xml:space="preserve">lmer</w:t>
      </w:r>
      <w:r>
        <w:t xml:space="preserve">) relies on several key assumptions, primarily that the model residuals are normally distributed and homoscedastic (i.e., have constant variance across the range of predicted values). Prior to finalizing the models, these assumptions were rigorously checked through visual inspection of diagnostic plots, such as quantile-quantile (Q-Q) plots of the residuals and plots of residuals versus fitted values.</w:t>
      </w:r>
    </w:p>
    <w:p>
      <w:pPr>
        <w:pStyle w:val="BodyText"/>
      </w:pPr>
      <w:r>
        <w:t xml:space="preserve">Initial exploratory data analysis revealed that several of the predictor variables, most notably the desorbable P pool (</w:t>
      </w:r>
      <m:oMath>
        <m:sSub>
          <m:e>
            <m:r>
              <m:t>P</m:t>
            </m:r>
          </m:e>
          <m:sub>
            <m:r>
              <m:t>d</m:t>
            </m:r>
            <m:r>
              <m:t>e</m:t>
            </m:r>
            <m:r>
              <m:t>s</m:t>
            </m:r>
            <m:r>
              <m:t>o</m:t>
            </m:r>
            <m:r>
              <m:t>r</m:t>
            </m:r>
            <m:r>
              <m:t>b</m:t>
            </m:r>
          </m:sub>
        </m:sSub>
      </m:oMath>
      <w:r>
        <w:t xml:space="preserve"> </w:t>
      </w:r>
      <w:r>
        <w:t xml:space="preserve">or PS), were strongly right-skewed. Using such variables directly in the linear models would violate the assumptions of linearity and homoscedasticity, leading to potentially biased and unreliable coefficient estimates.</w:t>
      </w:r>
    </w:p>
    <w:p>
      <w:pPr>
        <w:pStyle w:val="BodyText"/>
      </w:pPr>
      <w:r>
        <w:t xml:space="preserve">To address this, various transformations (including square root and logarithmic) were tested on the skewed variables. The natural log-transformation (</w:t>
      </w:r>
      <w:r>
        <w:rPr>
          <w:rStyle w:val="VerbatimChar"/>
        </w:rPr>
        <w:t xml:space="preserve">log()</w:t>
      </w:r>
      <w:r>
        <w:t xml:space="preserve">) was found to be the most effective at normalizing the distribution of</w:t>
      </w:r>
      <w:r>
        <w:t xml:space="preserve"> </w:t>
      </w:r>
      <m:oMath>
        <m:sSub>
          <m:e>
            <m:r>
              <m:t>P</m:t>
            </m:r>
          </m:e>
          <m:sub>
            <m:r>
              <m:t>d</m:t>
            </m:r>
            <m:r>
              <m:t>e</m:t>
            </m:r>
            <m:r>
              <m:t>s</m:t>
            </m:r>
            <m:r>
              <m:t>o</m:t>
            </m:r>
            <m:r>
              <m:t>r</m:t>
            </m:r>
            <m:r>
              <m:t>b</m:t>
            </m:r>
          </m:sub>
        </m:sSub>
      </m:oMath>
      <w:r>
        <w:t xml:space="preserve"> </w:t>
      </w:r>
      <w:r>
        <w:t xml:space="preserve">and producing well-behaved model residuals that more closely met the required assumptions. Therefore,</w:t>
      </w:r>
      <w:r>
        <w:t xml:space="preserve"> </w:t>
      </w:r>
      <w:r>
        <w:rPr>
          <w:rStyle w:val="VerbatimChar"/>
        </w:rPr>
        <w:t xml:space="preserve">log(PS)</w:t>
      </w:r>
      <w:r>
        <w:t xml:space="preserve"> </w:t>
      </w:r>
      <w:r>
        <w:t xml:space="preserve">was used as a fixed effect in all subsequent agronomic models to ensure the statistical validity of the results.</w:t>
      </w:r>
    </w:p>
    <w:bookmarkStart w:id="19" w:name="Xa8a482f2a6a3ad912fccf7e6dc90aeedf0c36d0"/>
    <w:p>
      <w:pPr>
        <w:pStyle w:val="Heading4"/>
      </w:pPr>
      <w:r>
        <w:t xml:space="preserve">1.4.4.1 Models of P Availability Metrics as a Function of Soil Properties</w:t>
      </w:r>
    </w:p>
    <w:p>
      <w:pPr>
        <w:pStyle w:val="FirstParagraph"/>
      </w:pPr>
      <w:r>
        <w:t xml:space="preserve">First, to investigate the underlying soil-chemical drivers of the different P availability metrics (both kinetic and static), a series of models was built to predict each metric from key soil properties.</w:t>
      </w:r>
    </w:p>
    <w:p>
      <w:pPr>
        <w:pStyle w:val="Compact"/>
        <w:numPr>
          <w:ilvl w:val="0"/>
          <w:numId w:val="1003"/>
        </w:numPr>
      </w:pPr>
      <w:r>
        <w:rPr>
          <w:b/>
          <w:bCs/>
        </w:rPr>
        <w:t xml:space="preserve">Fixed Effects Structure:</w:t>
      </w:r>
      <w:r>
        <w:t xml:space="preserve"> </w:t>
      </w:r>
      <w:r>
        <w:t xml:space="preserve">The fixed effects were identical for all models in this category and included the primary soil physical and chemical properties: clay content, silt content, pH, organic carbon content, and dithionite-extractable iron (</w:t>
      </w:r>
      <m:oMath>
        <m:r>
          <m:t>F</m:t>
        </m:r>
        <m:sSub>
          <m:e>
            <m:r>
              <m:t>e</m:t>
            </m:r>
          </m:e>
          <m:sub>
            <m:r>
              <m:t>d</m:t>
            </m:r>
          </m:sub>
        </m:sSub>
      </m:oMath>
      <w:r>
        <w:t xml:space="preserve">) and aluminum (</w:t>
      </w:r>
      <m:oMath>
        <m:r>
          <m:t>A</m:t>
        </m:r>
        <m:sSub>
          <m:e>
            <m:r>
              <m:t>l</m:t>
            </m:r>
          </m:e>
          <m:sub>
            <m:r>
              <m:t>d</m:t>
            </m:r>
          </m:sub>
        </m:sSub>
      </m:oMath>
      <w:r>
        <w:t xml:space="preserve">).</w:t>
      </w:r>
    </w:p>
    <w:p>
      <w:pPr>
        <w:pStyle w:val="Compact"/>
        <w:numPr>
          <w:ilvl w:val="0"/>
          <w:numId w:val="1003"/>
        </w:numPr>
      </w:pPr>
      <w:r>
        <w:rPr>
          <w:b/>
          <w:bCs/>
        </w:rPr>
        <w:t xml:space="preserve">Random Effects Structure:</w:t>
      </w:r>
      <w:r>
        <w:t xml:space="preserve"> </w:t>
      </w:r>
      <w:r>
        <w:t xml:space="preserve">The random effects structure accounted for the nested design of the STYCS experiment, with random intercepts for</w:t>
      </w:r>
      <w:r>
        <w:t xml:space="preserve"> </w:t>
      </w:r>
      <w:r>
        <w:rPr>
          <w:rStyle w:val="VerbatimChar"/>
        </w:rPr>
        <w:t xml:space="preserve">year</w:t>
      </w:r>
      <w:r>
        <w:t xml:space="preserve">,</w:t>
      </w:r>
      <w:r>
        <w:t xml:space="preserve"> </w:t>
      </w:r>
      <w:r>
        <w:rPr>
          <w:rStyle w:val="VerbatimChar"/>
        </w:rPr>
        <w:t xml:space="preserve">Site</w:t>
      </w:r>
      <w:r>
        <w:t xml:space="preserve">,</w:t>
      </w:r>
      <w:r>
        <w:t xml:space="preserve"> </w:t>
      </w:r>
      <w:r>
        <w:rPr>
          <w:rStyle w:val="VerbatimChar"/>
        </w:rPr>
        <w:t xml:space="preserve">Site:block</w:t>
      </w:r>
      <w:r>
        <w:t xml:space="preserve">, and</w:t>
      </w:r>
      <w:r>
        <w:t xml:space="preserve"> </w:t>
      </w:r>
      <w:r>
        <w:rPr>
          <w:rStyle w:val="VerbatimChar"/>
        </w:rPr>
        <w:t xml:space="preserve">Site:Treatment</w:t>
      </w:r>
      <w:r>
        <w:t xml:space="preserve">.</w:t>
      </w:r>
    </w:p>
    <w:bookmarkEnd w:id="19"/>
    <w:bookmarkStart w:id="37" w:name="comparative-models-of-agronomic-outcomes"/>
    <w:p>
      <w:pPr>
        <w:pStyle w:val="Heading4"/>
      </w:pPr>
      <w:r>
        <w:t xml:space="preserve">1.4.4.2 Comparative Models of Agronomic Outcomes</w:t>
      </w:r>
    </w:p>
    <w:p>
      <w:pPr>
        <w:pStyle w:val="FirstParagraph"/>
      </w:pPr>
      <w:r>
        <w:t xml:space="preserve">Second, the predictive power of the kinetic parameters was directly compared against that of the standard STP methods (</w:t>
      </w:r>
      <w:r>
        <w:t xml:space="preserve">“GRUD”</w:t>
      </w:r>
      <w:r>
        <w:t xml:space="preserve"> </w:t>
      </w:r>
      <w:r>
        <w:t xml:space="preserve">system). For each agronomic response variable (Normalized Yield, P Uptake, and P Balance), two competing models were built. These models shared an identical random effects structure to ensure a fair comparison, differing only in their fixed effects.</w:t>
      </w:r>
    </w:p>
    <w:p>
      <w:pPr>
        <w:numPr>
          <w:ilvl w:val="0"/>
          <w:numId w:val="1004"/>
        </w:numPr>
      </w:pPr>
      <w:r>
        <w:rPr>
          <w:b/>
          <w:bCs/>
        </w:rPr>
        <w:t xml:space="preserve">Random Effects Structure (for all agronomic models):</w:t>
      </w:r>
      <w:r>
        <w:t xml:space="preserve"> </w:t>
      </w:r>
      <w:r>
        <w:t xml:space="preserve">The structure</w:t>
      </w:r>
      <w:r>
        <w:t xml:space="preserve"> </w:t>
      </w:r>
      <w:r>
        <w:rPr>
          <w:rStyle w:val="VerbatimChar"/>
        </w:rPr>
        <w:t xml:space="preserve">(1|year) + (1|Site) + (1|Site:block)</w:t>
      </w:r>
      <w:r>
        <w:t xml:space="preserve"> </w:t>
      </w:r>
      <w:r>
        <w:t xml:space="preserve">was used to control for variations due to the growing season, location, and in-field spatial differences.</w:t>
      </w:r>
    </w:p>
    <w:p>
      <w:pPr>
        <w:numPr>
          <w:ilvl w:val="0"/>
          <w:numId w:val="1004"/>
        </w:numPr>
      </w:pPr>
      <w:r>
        <w:rPr>
          <w:b/>
          <w:bCs/>
        </w:rPr>
        <w:t xml:space="preserve">Model 1: The Kinetic Approach</w:t>
      </w:r>
    </w:p>
    <w:p>
      <w:pPr>
        <w:pStyle w:val="Compact"/>
        <w:numPr>
          <w:ilvl w:val="1"/>
          <w:numId w:val="1005"/>
        </w:numPr>
      </w:pPr>
      <w:r>
        <w:rPr>
          <w:b/>
          <w:bCs/>
        </w:rPr>
        <w:t xml:space="preserve">Fixed Effects:</w:t>
      </w:r>
      <w:r>
        <w:t xml:space="preserve"> </w:t>
      </w:r>
      <w:r>
        <w:t xml:space="preserve">This model used the kinetic parameters and their interaction:</w:t>
      </w:r>
      <w:r>
        <w:t xml:space="preserve"> </w:t>
      </w:r>
      <w:r>
        <w:rPr>
          <w:rStyle w:val="VerbatimChar"/>
        </w:rPr>
        <w:t xml:space="preserve">k * log(PS)</w:t>
      </w:r>
      <w:r>
        <w:t xml:space="preserve">. The interaction term tests the hypothesis that the benefit of a large desorbable P pool (</w:t>
      </w:r>
      <w:r>
        <w:rPr>
          <w:rStyle w:val="VerbatimChar"/>
        </w:rPr>
        <w:t xml:space="preserve">PS</w:t>
      </w:r>
      <w:r>
        <w:t xml:space="preserve">) depends on the</w:t>
      </w:r>
      <w:r>
        <w:t xml:space="preserve"> </w:t>
      </w:r>
      <w:r>
        <w:rPr>
          <w:i/>
          <w:iCs/>
        </w:rPr>
        <w:t xml:space="preserve">rate</w:t>
      </w:r>
      <w:r>
        <w:t xml:space="preserve"> </w:t>
      </w:r>
      <w:r>
        <w:t xml:space="preserve">(</w:t>
      </w:r>
      <w:r>
        <w:rPr>
          <w:rStyle w:val="VerbatimChar"/>
        </w:rPr>
        <w:t xml:space="preserve">k</w:t>
      </w:r>
      <w:r>
        <w:t xml:space="preserve">) at which it can be accessed.</w:t>
      </w:r>
    </w:p>
    <w:p>
      <w:pPr>
        <w:numPr>
          <w:ilvl w:val="0"/>
          <w:numId w:val="1004"/>
        </w:numPr>
      </w:pPr>
      <w:r>
        <w:rPr>
          <w:b/>
          <w:bCs/>
        </w:rPr>
        <w:t xml:space="preserve">Model 2: The Standard STP (GRUD) Approach</w:t>
      </w:r>
    </w:p>
    <w:p>
      <w:pPr>
        <w:pStyle w:val="Compact"/>
        <w:numPr>
          <w:ilvl w:val="1"/>
          <w:numId w:val="1006"/>
        </w:numPr>
      </w:pPr>
      <w:r>
        <w:rPr>
          <w:b/>
          <w:bCs/>
        </w:rPr>
        <w:t xml:space="preserve">Fixed Effects:</w:t>
      </w:r>
      <w:r>
        <w:t xml:space="preserve"> </w:t>
      </w:r>
      <w:r>
        <w:t xml:space="preserve">This model used the two standard Swiss soil tests and their interaction:</w:t>
      </w:r>
      <w:r>
        <w:t xml:space="preserve"> </w:t>
      </w:r>
      <w:r>
        <w:rPr>
          <w:rStyle w:val="VerbatimChar"/>
        </w:rPr>
        <w:t xml:space="preserve">P_CO2 * P_AAE10</w:t>
      </w:r>
      <w:r>
        <w:t xml:space="preserve">.</w:t>
      </w:r>
    </w:p>
    <w:p>
      <w:pPr>
        <w:pStyle w:val="FirstParagraph"/>
      </w:pPr>
      <w:r>
        <w:t xml:space="preserve">The relative performance of these two sets of models was then evaluated to determine whether the kinetic parameters provided a significant improvement in predictive power for key agronomic outcomes. Further the relative performance of these two approaches, along with other combinations of predictor sets, was rigorously evaluated using a machine learning benchmark workflow implemented in the</w:t>
      </w:r>
      <w:r>
        <w:t xml:space="preserve"> </w:t>
      </w:r>
      <w:r>
        <w:rPr>
          <w:rStyle w:val="VerbatimChar"/>
        </w:rPr>
        <w:t xml:space="preserve">mlr3</w:t>
      </w:r>
      <w:r>
        <w:t xml:space="preserve"> </w:t>
      </w:r>
      <w:r>
        <w:t xml:space="preserve">package</w:t>
      </w:r>
      <w:r>
        <w:t xml:space="preserve"> </w:t>
      </w:r>
      <w:r>
        <w:t xml:space="preserve">(Lang et al., 2019)</w:t>
      </w:r>
      <w:r>
        <w:t xml:space="preserve">. The predictive power of each predictor set was quantified using</w:t>
      </w:r>
      <w:r>
        <w:t xml:space="preserve"> </w:t>
      </w:r>
      <w:r>
        <w:rPr>
          <w:b/>
          <w:bCs/>
        </w:rPr>
        <w:t xml:space="preserve">5-fold cross-validation</w:t>
      </w:r>
      <w:r>
        <w:t xml:space="preserve">. Performance was measured as the percentage of explained variance on the hold-out data (1 - MSE / Var(y)), providing a robust and unbiased estimate of how well each model would generalize to new data. This benchmark allowed for a direct comparison of the information content provided by the kinetic parameters versus the standard soil tests for predicting key agronomic outcomes.</w:t>
      </w:r>
    </w:p>
    <w:bookmarkStart w:id="36" w:name="refs"/>
    <w:bookmarkStart w:id="21" w:name="ref-R-lme4"/>
    <w:p>
      <w:pPr>
        <w:pStyle w:val="Bibliography"/>
      </w:pPr>
      <w:r>
        <w:t xml:space="preserve">Bates, D., Mächler, M., Bolker, B., &amp; Walker, S. (2015). Fitting linear mixed-effects models using</w:t>
      </w:r>
      <w:r>
        <w:t xml:space="preserve"> </w:t>
      </w:r>
      <w:r>
        <w:t xml:space="preserve">lme4</w:t>
      </w:r>
      <w:r>
        <w:t xml:space="preserve">.</w:t>
      </w:r>
      <w:r>
        <w:t xml:space="preserve"> </w:t>
      </w:r>
      <w:r>
        <w:rPr>
          <w:i/>
          <w:iCs/>
        </w:rPr>
        <w:t xml:space="preserve">Journal of Statistical Software</w:t>
      </w:r>
      <w:r>
        <w:t xml:space="preserve">,</w:t>
      </w:r>
      <w:r>
        <w:t xml:space="preserve"> </w:t>
      </w:r>
      <w:r>
        <w:rPr>
          <w:i/>
          <w:iCs/>
        </w:rPr>
        <w:t xml:space="preserve">67</w:t>
      </w:r>
      <w:r>
        <w:t xml:space="preserve">(1), 1–48.</w:t>
      </w:r>
      <w:r>
        <w:t xml:space="preserve"> </w:t>
      </w:r>
      <w:hyperlink r:id="rId20">
        <w:r>
          <w:rPr>
            <w:rStyle w:val="Hyperlink"/>
          </w:rPr>
          <w:t xml:space="preserve">https://doi.org/10.18637/jss.v067.i01</w:t>
        </w:r>
      </w:hyperlink>
    </w:p>
    <w:bookmarkEnd w:id="21"/>
    <w:bookmarkStart w:id="22" w:name="X8e448a35b024827f6325a509cd0871d88df6696"/>
    <w:p>
      <w:pPr>
        <w:pStyle w:val="Bibliography"/>
      </w:pPr>
      <w:r>
        <w:t xml:space="preserve">Flossmann, R., &amp; Richter, D. (1982).</w:t>
      </w:r>
      <w:r>
        <w:t xml:space="preserve"> </w:t>
      </w:r>
      <w:r>
        <w:rPr>
          <w:i/>
          <w:iCs/>
        </w:rPr>
        <w:t xml:space="preserve">Extraction method for characterizing the kinetics of phosphorus release from solid soil to soil solution.</w:t>
      </w:r>
    </w:p>
    <w:bookmarkEnd w:id="22"/>
    <w:bookmarkStart w:id="23" w:name="ref-FAL1996Methodenbuch"/>
    <w:p>
      <w:pPr>
        <w:pStyle w:val="Bibliography"/>
      </w:pPr>
      <w:r>
        <w:t xml:space="preserve">Forschungsanstalt für Agrarökologie und Landbau (FAL). (1996).</w:t>
      </w:r>
      <w:r>
        <w:t xml:space="preserve"> </w:t>
      </w:r>
      <w:r>
        <w:rPr>
          <w:i/>
          <w:iCs/>
        </w:rPr>
        <w:t xml:space="preserve">Methodenbuch für boden-, pflanzen- und nährstoffanalysen</w:t>
      </w:r>
      <w:r>
        <w:t xml:space="preserve">. FAL.</w:t>
      </w:r>
    </w:p>
    <w:bookmarkEnd w:id="23"/>
    <w:bookmarkStart w:id="25" w:name="ref-hirteYieldResponseSoil2021"/>
    <w:p>
      <w:pPr>
        <w:pStyle w:val="Bibliography"/>
      </w:pPr>
      <w:r>
        <w:t xml:space="preserve">Hirte, J., Richner, W., Orth, B., Liebisch, F., &amp; Flisch, R. (2021). Yield response to soil test phosphorus in</w:t>
      </w:r>
      <w:r>
        <w:t xml:space="preserve"> </w:t>
      </w:r>
      <w:r>
        <w:t xml:space="preserve">Switzerland</w:t>
      </w:r>
      <w:r>
        <w:t xml:space="preserve">:</w:t>
      </w:r>
      <w:r>
        <w:t xml:space="preserve"> </w:t>
      </w:r>
      <w:r>
        <w:t xml:space="preserve">Pedoclimatic</w:t>
      </w:r>
      <w:r>
        <w:t xml:space="preserve"> </w:t>
      </w:r>
      <w:r>
        <w:t xml:space="preserve">drivers of critical concentrations for optimal crop yields using multilevel modelling.</w:t>
      </w:r>
      <w:r>
        <w:t xml:space="preserve"> </w:t>
      </w:r>
      <w:r>
        <w:rPr>
          <w:i/>
          <w:iCs/>
        </w:rPr>
        <w:t xml:space="preserve">Science of The Total Environment</w:t>
      </w:r>
      <w:r>
        <w:t xml:space="preserve">,</w:t>
      </w:r>
      <w:r>
        <w:t xml:space="preserve"> </w:t>
      </w:r>
      <w:r>
        <w:rPr>
          <w:i/>
          <w:iCs/>
        </w:rPr>
        <w:t xml:space="preserve">755</w:t>
      </w:r>
      <w:r>
        <w:t xml:space="preserve">, 143453.</w:t>
      </w:r>
      <w:r>
        <w:t xml:space="preserve"> </w:t>
      </w:r>
      <w:hyperlink r:id="rId24">
        <w:r>
          <w:rPr>
            <w:rStyle w:val="Hyperlink"/>
          </w:rPr>
          <w:t xml:space="preserve">https://doi.org/10.1016/j.scitotenv.2020.143453</w:t>
        </w:r>
      </w:hyperlink>
    </w:p>
    <w:bookmarkEnd w:id="25"/>
    <w:bookmarkStart w:id="27" w:name="ref-R-lmerTest"/>
    <w:p>
      <w:pPr>
        <w:pStyle w:val="Bibliography"/>
      </w:pPr>
      <w:r>
        <w:t xml:space="preserve">Kuznetsova, A., Brockhoff, P. B., &amp; Christensen, R. H. B. (2017). lmerTest package: Tests in linear mixed effects models.</w:t>
      </w:r>
      <w:r>
        <w:t xml:space="preserve"> </w:t>
      </w:r>
      <w:r>
        <w:rPr>
          <w:i/>
          <w:iCs/>
        </w:rPr>
        <w:t xml:space="preserve">Journal of Statistical Software</w:t>
      </w:r>
      <w:r>
        <w:t xml:space="preserve">,</w:t>
      </w:r>
      <w:r>
        <w:t xml:space="preserve"> </w:t>
      </w:r>
      <w:r>
        <w:rPr>
          <w:i/>
          <w:iCs/>
        </w:rPr>
        <w:t xml:space="preserve">82</w:t>
      </w:r>
      <w:r>
        <w:t xml:space="preserve">(13), 1–26.</w:t>
      </w:r>
      <w:r>
        <w:t xml:space="preserve"> </w:t>
      </w:r>
      <w:hyperlink r:id="rId26">
        <w:r>
          <w:rPr>
            <w:rStyle w:val="Hyperlink"/>
          </w:rPr>
          <w:t xml:space="preserve">https://doi.org/10.18637/jss.v082.i13</w:t>
        </w:r>
      </w:hyperlink>
    </w:p>
    <w:bookmarkEnd w:id="27"/>
    <w:bookmarkStart w:id="29" w:name="ref-R-mlr3"/>
    <w:p>
      <w:pPr>
        <w:pStyle w:val="Bibliography"/>
      </w:pPr>
      <w:r>
        <w:t xml:space="preserve">Lang, M., Binder, M., Richter, J., Schratz, P., Casalicchio, G., Coors, S., Pfisterer, F., Fischer, S., Au, Q., &amp; Bischl, B. (2019).</w:t>
      </w:r>
      <w:r>
        <w:t xml:space="preserve"> </w:t>
      </w:r>
      <w:r>
        <w:t xml:space="preserve">mlr3</w:t>
      </w:r>
      <w:r>
        <w:t xml:space="preserve">: A modern object-oriented machine learning framework in</w:t>
      </w:r>
      <w:r>
        <w:t xml:space="preserve"> </w:t>
      </w:r>
      <w:r>
        <w:t xml:space="preserve">R</w:t>
      </w:r>
      <w:r>
        <w:t xml:space="preserve">.</w:t>
      </w:r>
      <w:r>
        <w:t xml:space="preserve"> </w:t>
      </w:r>
      <w:r>
        <w:rPr>
          <w:i/>
          <w:iCs/>
        </w:rPr>
        <w:t xml:space="preserve">Journal of Open Source Software</w:t>
      </w:r>
      <w:r>
        <w:t xml:space="preserve">,</w:t>
      </w:r>
      <w:r>
        <w:t xml:space="preserve"> </w:t>
      </w:r>
      <w:r>
        <w:rPr>
          <w:i/>
          <w:iCs/>
        </w:rPr>
        <w:t xml:space="preserve">4</w:t>
      </w:r>
      <w:r>
        <w:t xml:space="preserve">(44), 1903.</w:t>
      </w:r>
      <w:r>
        <w:t xml:space="preserve"> </w:t>
      </w:r>
      <w:hyperlink r:id="rId28">
        <w:r>
          <w:rPr>
            <w:rStyle w:val="Hyperlink"/>
          </w:rPr>
          <w:t xml:space="preserve">https://doi.org/10.21105/joss.01903</w:t>
        </w:r>
      </w:hyperlink>
    </w:p>
    <w:bookmarkEnd w:id="29"/>
    <w:bookmarkStart w:id="30" w:name="ref-Mehra1960Iron"/>
    <w:p>
      <w:pPr>
        <w:pStyle w:val="Bibliography"/>
      </w:pPr>
      <w:r>
        <w:t xml:space="preserve">Mehra, O. P., &amp; Jackson, M. L. (1960). Iron oxide removal from soils and clays by a dithionite-citrate system buffered with sodium bicarbonate.</w:t>
      </w:r>
      <w:r>
        <w:t xml:space="preserve"> </w:t>
      </w:r>
      <w:r>
        <w:rPr>
          <w:i/>
          <w:iCs/>
        </w:rPr>
        <w:t xml:space="preserve">Clays and Clay Minerals</w:t>
      </w:r>
      <w:r>
        <w:t xml:space="preserve">,</w:t>
      </w:r>
      <w:r>
        <w:t xml:space="preserve"> </w:t>
      </w:r>
      <w:r>
        <w:rPr>
          <w:i/>
          <w:iCs/>
        </w:rPr>
        <w:t xml:space="preserve">7</w:t>
      </w:r>
      <w:r>
        <w:t xml:space="preserve">, 317–327.</w:t>
      </w:r>
    </w:p>
    <w:bookmarkEnd w:id="30"/>
    <w:bookmarkStart w:id="32" w:name="ref-R-nlme"/>
    <w:p>
      <w:pPr>
        <w:pStyle w:val="Bibliography"/>
      </w:pPr>
      <w:r>
        <w:t xml:space="preserve">Pinheiro, J., Bates, D., DebRoy, S., Sarkar, D., &amp; R Core Team. (2022).</w:t>
      </w:r>
      <w:r>
        <w:t xml:space="preserve"> </w:t>
      </w:r>
      <w:r>
        <w:rPr>
          <w:i/>
          <w:iCs/>
        </w:rPr>
        <w:t xml:space="preserve">Nlme: Linear and nonlinear mixed effects models</w:t>
      </w:r>
      <w:r>
        <w:t xml:space="preserve">.</w:t>
      </w:r>
      <w:r>
        <w:t xml:space="preserve"> </w:t>
      </w:r>
      <w:hyperlink r:id="rId31">
        <w:r>
          <w:rPr>
            <w:rStyle w:val="Hyperlink"/>
          </w:rPr>
          <w:t xml:space="preserve">https://CRAN.R-project.org/package=nlme</w:t>
        </w:r>
      </w:hyperlink>
    </w:p>
    <w:bookmarkEnd w:id="32"/>
    <w:bookmarkStart w:id="34" w:name="ref-R-base"/>
    <w:p>
      <w:pPr>
        <w:pStyle w:val="Bibliography"/>
      </w:pPr>
      <w:r>
        <w:t xml:space="preserve">R Core Team. (2022).</w:t>
      </w:r>
      <w:r>
        <w:t xml:space="preserve"> </w:t>
      </w:r>
      <w:r>
        <w:rPr>
          <w:i/>
          <w:iCs/>
        </w:rPr>
        <w:t xml:space="preserve">R: A language and environment for statistical computing</w:t>
      </w:r>
      <w:r>
        <w:t xml:space="preserve">. R Foundation for Statistical Computing.</w:t>
      </w:r>
      <w:r>
        <w:t xml:space="preserve"> </w:t>
      </w:r>
      <w:hyperlink r:id="rId33">
        <w:r>
          <w:rPr>
            <w:rStyle w:val="Hyperlink"/>
          </w:rPr>
          <w:t xml:space="preserve">https://www.R-project.org/</w:t>
        </w:r>
      </w:hyperlink>
    </w:p>
    <w:bookmarkEnd w:id="34"/>
    <w:bookmarkStart w:id="35" w:name="ref-VanVeldhoven1987Malachite"/>
    <w:p>
      <w:pPr>
        <w:pStyle w:val="Bibliography"/>
      </w:pPr>
      <w:r>
        <w:t xml:space="preserve">Van Veldhoven, P. P., &amp; Mannaerts, G. P. (1987). Inorganic and organic phosphorus in the scheldt estuary.</w:t>
      </w:r>
      <w:r>
        <w:t xml:space="preserve"> </w:t>
      </w:r>
      <w:r>
        <w:rPr>
          <w:i/>
          <w:iCs/>
        </w:rPr>
        <w:t xml:space="preserve">Estuarine, Coastal and Shelf Science</w:t>
      </w:r>
      <w:r>
        <w:t xml:space="preserve">,</w:t>
      </w:r>
      <w:r>
        <w:t xml:space="preserve"> </w:t>
      </w:r>
      <w:r>
        <w:rPr>
          <w:i/>
          <w:iCs/>
        </w:rPr>
        <w:t xml:space="preserve">25</w:t>
      </w:r>
      <w:r>
        <w:t xml:space="preserve">(6), 755–765.</w:t>
      </w:r>
    </w:p>
    <w:bookmarkEnd w:id="35"/>
    <w:bookmarkEnd w:id="36"/>
    <w:bookmarkEnd w:id="37"/>
    <w:bookmarkEnd w:id="38"/>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1" Target="https://CRAN.R-project.org/package=nlme" TargetMode="External" /><Relationship Type="http://schemas.openxmlformats.org/officeDocument/2006/relationships/hyperlink" Id="rId24" Target="https://doi.org/10.1016/j.scitotenv.2020.143453" TargetMode="External" /><Relationship Type="http://schemas.openxmlformats.org/officeDocument/2006/relationships/hyperlink" Id="rId20" Target="https://doi.org/10.18637/jss.v067.i01" TargetMode="External" /><Relationship Type="http://schemas.openxmlformats.org/officeDocument/2006/relationships/hyperlink" Id="rId26" Target="https://doi.org/10.18637/jss.v082.i13" TargetMode="External" /><Relationship Type="http://schemas.openxmlformats.org/officeDocument/2006/relationships/hyperlink" Id="rId28" Target="https://doi.org/10.21105/joss.01903" TargetMode="External" /><Relationship Type="http://schemas.openxmlformats.org/officeDocument/2006/relationships/hyperlink" Id="rId33"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31" Target="https://CRAN.R-project.org/package=nlme" TargetMode="External" /><Relationship Type="http://schemas.openxmlformats.org/officeDocument/2006/relationships/hyperlink" Id="rId24" Target="https://doi.org/10.1016/j.scitotenv.2020.143453" TargetMode="External" /><Relationship Type="http://schemas.openxmlformats.org/officeDocument/2006/relationships/hyperlink" Id="rId20" Target="https://doi.org/10.18637/jss.v067.i01" TargetMode="External" /><Relationship Type="http://schemas.openxmlformats.org/officeDocument/2006/relationships/hyperlink" Id="rId26" Target="https://doi.org/10.18637/jss.v082.i13" TargetMode="External" /><Relationship Type="http://schemas.openxmlformats.org/officeDocument/2006/relationships/hyperlink" Id="rId28" Target="https://doi.org/10.21105/joss.01903" TargetMode="External" /><Relationship Type="http://schemas.openxmlformats.org/officeDocument/2006/relationships/hyperlink" Id="rId33"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2026-03-27T15:27:13Z</dcterms:created>
  <dcterms:modified xsi:type="dcterms:W3CDTF">2026-03-27T15:27:13Z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sl">
    <vt:lpwstr>../apa.csl</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