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df" ContentType="application/pdf"/>
  <Override PartName="/word/media/rId2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Date"/>
      </w:pPr>
      <w:r>
        <w:t xml:space="preserve">2026-08-27</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18"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minute fraction dissolved in the soil solution—the only form directly available to plant roots—is highly transient.</w:t>
      </w:r>
    </w:p>
    <w:p>
      <w:pPr>
        <w:pStyle w:val="BodyText"/>
      </w:pPr>
      <w:r>
        <w:t xml:space="preserve">To manage this complex nutrient, European agricultural systems rely heavily on empirical soil tests to generate fertilizer recommendations. As detailed by</w:t>
      </w:r>
      <w:r>
        <w:t xml:space="preserve"> </w:t>
      </w:r>
      <w:r>
        <w:t xml:space="preserve">Jordan-Meille et al. (2012)</w:t>
      </w:r>
      <w:r>
        <w:t xml:space="preserve"> </w:t>
      </w:r>
      <w:r>
        <w:t xml:space="preserve">and later expanded by</w:t>
      </w:r>
      <w:r>
        <w:t xml:space="preserve"> </w:t>
      </w:r>
      <w:r>
        <w:t xml:space="preserve">Steinfurth et al.</w:t>
      </w:r>
      <w:r>
        <w:t xml:space="preserve"> </w:t>
      </w:r>
      <w:r>
        <w:t xml:space="preserve">(2022)</w:t>
      </w:r>
      <w:r>
        <w:t xml:space="preserve">, these systems generally follow a three-step procedure: soil testing, calibration, and recommendation. Central to this process is the</w:t>
      </w:r>
      <w:r>
        <w:t xml:space="preserve"> </w:t>
      </w:r>
      <w:r>
        <w:t xml:space="preserve">“Class Concept”</w:t>
      </w:r>
      <w:r>
        <w:t xml:space="preserve"> </w:t>
      </w:r>
      <w:r>
        <w:t xml:space="preserve">(Klassenkonzept), where raw soil test values are calibrated into discrete P-fertility categories (e.g., Very Low, Target, Excessive). In many European countries, including Switzerland and France, these empirical thresholds are further modified by secondary soil parameters such as clay content and pH.</w:t>
      </w:r>
    </w:p>
    <w:p>
      <w:pPr>
        <w:pStyle w:val="BodyText"/>
      </w:pPr>
      <w:r>
        <w:t xml:space="preserve">However, despite these sophisticated calibration matrices, inter-laboratory comparisons reveal massive contradictions, with recommended fertilizer doses for the exact same soil varying by up to 300% across Europe</w:t>
      </w:r>
      <w:r>
        <w:t xml:space="preserve"> </w:t>
      </w:r>
      <w:r>
        <w:t xml:space="preserve">(Jordan-Meille et al., 2012)</w:t>
      </w:r>
      <w:r>
        <w:t xml:space="preserve">. This fundamental instability arises because standard chemical extractants largely ignore the mechanistic processes governing plant P uptake.</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Isotopic Exchange Kinetics (IEK) perfectly capture these dynamics by tracing the true exchangeable pool without altering the chemical equilibrium</w:t>
      </w:r>
      <w:r>
        <w:t xml:space="preserve"> </w:t>
      </w:r>
      <w:r>
        <w:t xml:space="preserve">(Fardeau, 1996; Gallet et al., 2003)</w:t>
      </w:r>
      <w:r>
        <w:t xml:space="preserve">. However, the requirement for radioisotopes renders IEK unsuitable for routine agronomic testing. In practice, standard agronomic soil tests do not measure absolute thermodynamic states; rather, they rely on</w:t>
      </w:r>
      <w:r>
        <w:t xml:space="preserve"> </w:t>
      </w:r>
      <w:r>
        <w:rPr>
          <w:b/>
          <w:bCs/>
        </w:rPr>
        <w:t xml:space="preserve">operational definitions</w:t>
      </w:r>
      <w:r>
        <w:t xml:space="preserve"> </w:t>
      </w:r>
      <w:r>
        <w:t xml:space="preserve">that often misrepresent the true pool of available P</w:t>
      </w:r>
      <w:r>
        <w:t xml:space="preserve"> </w:t>
      </w:r>
      <w:r>
        <w:t xml:space="preserve">(Demaria et al., 2005)</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(Olsen et al., 1954)</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(Forschungsanstalt für Agrarökologie und Landbau (FAL), 1996)</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C</m:t>
            </m:r>
            <m:sSub>
              <m:e>
                <m:r>
                  <m:t>O</m:t>
                </m:r>
              </m:e>
              <m:sub>
                <m:r>
                  <m:t>2</m:t>
                </m:r>
              </m:sub>
            </m:sSub>
          </m:sub>
        </m:sSub>
      </m:oMath>
      <w:r>
        <w:t xml:space="preserve">): While lacking aggressive chelators, distilled or</w:t>
      </w:r>
      <w:r>
        <w:t xml:space="preserve"> </w:t>
      </w:r>
      <m:oMath>
        <m:r>
          <m:t>C</m:t>
        </m:r>
        <m:sSub>
          <m:e>
            <m:r>
              <m:t>O</m:t>
            </m:r>
          </m:e>
          <m:sub>
            <m:r>
              <m:t>2</m:t>
            </m:r>
          </m:sub>
        </m:sSub>
      </m:oMath>
      <w:r>
        <w:t xml:space="preserve">-saturated water acts as an incredibly strong thermodynamic sink. By plunging the soil into a massively dilute environment, it forcefully drives dissolution and desorption to re-establish equilibrium. Consequently, the actual extracting power of these methods is fiercely modulated by the physical extraction time and, crucially, the soil-to-extractant ratio.</w:t>
      </w:r>
    </w:p>
    <w:bookmarkEnd w:id="10"/>
    <w:bookmarkStart w:id="11" w:name="X5523d098309c34d16988bdbe95bd733cb0aed06"/>
    <w:p>
      <w:pPr>
        <w:pStyle w:val="Heading2"/>
      </w:pPr>
      <w:r>
        <w:t xml:space="preserve">1.3 The Asymmetry of Measurement: Thermodynamics vs. Biology</w:t>
      </w:r>
    </w:p>
    <w:p>
      <w:pPr>
        <w:pStyle w:val="FirstParagraph"/>
      </w:pPr>
      <w:r>
        <w:t xml:space="preserve">Relying on operational definitions introduces severe analytical limitations, but a profound epistemological asymmetry exists between the chemical measurements of the soil and the biological measurements of the plant.</w:t>
      </w:r>
    </w:p>
    <w:p>
      <w:pPr>
        <w:pStyle w:val="BodyText"/>
      </w:pPr>
      <w:r>
        <w:t xml:space="preserve">On the soil side, thermodynamic measurements can be mechanistically clarified. While empirical tests like</w:t>
      </w:r>
      <w:r>
        <w:t xml:space="preserve"> </w:t>
      </w:r>
      <m:oMath>
        <m:sSub>
          <m:e>
            <m:r>
              <m:t>P</m:t>
            </m:r>
          </m:e>
          <m:sub>
            <m:r>
              <m:t>A</m:t>
            </m:r>
            <m:r>
              <m:t>A</m:t>
            </m:r>
            <m:r>
              <m:t>E</m:t>
            </m:r>
            <m:r>
              <m:t>10</m:t>
            </m:r>
          </m:sub>
        </m:sSub>
      </m:oMath>
      <w:r>
        <w:t xml:space="preserve"> </w:t>
      </w:r>
      <w:r>
        <w:t xml:space="preserve">suffer from clear artifacts (such as the physical saturation of the EDTA chelator in heavy clays), we can rationally address these limitations. We can convert stoichiometric concentrations to corrected chemical activities (</w:t>
      </w:r>
      <m:oMath>
        <m:r>
          <m:t>γ</m:t>
        </m:r>
      </m:oMath>
      <w:r>
        <w:t xml:space="preserve">) using Davies or Pitzer equations, isolate kinetic bottlenecks, and model fundamental isotherms. We have rational, physical control over the soil matrix.</w:t>
      </w:r>
    </w:p>
    <w:p>
      <w:pPr>
        <w:pStyle w:val="BodyText"/>
      </w:pPr>
      <w:r>
        <w:t xml:space="preserve">Conversely, biological response variables are inherently messy, abstract, and riddled with physiological ambiguity. Agronomic models attempt to use plant tissue concentrations (</w:t>
      </w:r>
      <m:oMath>
        <m:sSub>
          <m:e>
            <m:r>
              <m:t>C</m:t>
            </m:r>
          </m:e>
          <m:sub>
            <m:r>
              <m:t>P</m:t>
            </m:r>
          </m:sub>
        </m:sSub>
      </m:oMath>
      <w:r>
        <w:t xml:space="preserve">) or total Phosphorus Uptake (</w:t>
      </w:r>
      <m:oMath>
        <m:sSub>
          <m:e>
            <m:r>
              <m:t>P</m:t>
            </m:r>
          </m:e>
          <m:sub>
            <m:r>
              <m:t>u</m:t>
            </m:r>
            <m:r>
              <m:t>p</m:t>
            </m:r>
            <m:r>
              <m:t>t</m:t>
            </m:r>
            <m:r>
              <m:t>a</m:t>
            </m:r>
            <m:r>
              <m:t>k</m:t>
            </m:r>
            <m:r>
              <m:t>e</m:t>
            </m:r>
          </m:sub>
        </m:sSub>
      </m:oMath>
      <w:r>
        <w:t xml:space="preserve">) as response variables, but these are not absolute physical truths. They are abstractions derived from indirect measurements of mass and concentration.</w:t>
      </w:r>
    </w:p>
    <w:p>
      <w:pPr>
        <w:pStyle w:val="BodyText"/>
      </w:pPr>
      <w:r>
        <w:t xml:space="preserve">Furthermore, these biological metrics routinely collapse in the field due to physiological phenomena like the</w:t>
      </w:r>
      <w:r>
        <w:t xml:space="preserve"> </w:t>
      </w:r>
      <w:r>
        <w:rPr>
          <w:b/>
          <w:bCs/>
        </w:rPr>
        <w:t xml:space="preserve">Piper-Steenbjerg effect</w:t>
      </w:r>
      <w:r>
        <w:t xml:space="preserve"> </w:t>
      </w:r>
      <w:r>
        <w:t xml:space="preserve">(carbon dilution)</w:t>
      </w:r>
      <w:r>
        <w:t xml:space="preserve"> </w:t>
      </w:r>
      <w:r>
        <w:t xml:space="preserve">(Hirte et al., 2021)</w:t>
      </w:r>
      <w:r>
        <w:t xml:space="preserve">. When a severely P-starved plant finally receives Phosphorus, it rapidly generates new biomass. This burst of growth paradoxically</w:t>
      </w:r>
      <w:r>
        <w:t xml:space="preserve"> </w:t>
      </w:r>
      <w:r>
        <w:rPr>
          <w:i/>
          <w:iCs/>
        </w:rPr>
        <w:t xml:space="preserve">dilutes</w:t>
      </w:r>
      <w:r>
        <w:t xml:space="preserve"> </w:t>
      </w:r>
      <w:r>
        <w:t xml:space="preserve">the tissue</w:t>
      </w:r>
      <w:r>
        <w:t xml:space="preserve"> </w:t>
      </w:r>
      <m:oMath>
        <m:sSub>
          <m:e>
            <m:r>
              <m:t>C</m:t>
            </m:r>
          </m:e>
          <m:sub>
            <m:r>
              <m:t>P</m:t>
            </m:r>
          </m:sub>
        </m:sSub>
      </m:oMath>
      <w:r>
        <w:t xml:space="preserve"> </w:t>
      </w:r>
      <w:r>
        <w:t xml:space="preserve">concentration, causing the measured concentration to drop even though the total Phosphorus mass in the plant increased. This immediately forces an arbitrary decision: which specific plant tissue should we optimize to represent the whole organism?</w:t>
      </w:r>
    </w:p>
    <w:p>
      <w:pPr>
        <w:pStyle w:val="BodyText"/>
      </w:pPr>
      <w:r>
        <w:t xml:space="preserve">Finally, even if a perfect thermodynamic soil model is constructed, its predictive power in field trials remains constantly threatened by overarching pedoclimatic noise. Much like the Athenians praying to Zeus for rain in the</w:t>
      </w:r>
      <w:r>
        <w:t xml:space="preserve"> </w:t>
      </w:r>
      <w:r>
        <w:rPr>
          <w:i/>
          <w:iCs/>
        </w:rPr>
        <w:t xml:space="preserve">Meditations</w:t>
      </w:r>
      <w:r>
        <w:t xml:space="preserve"> </w:t>
      </w:r>
      <w:r>
        <w:t xml:space="preserve">of Marcus Aurelius, agronomic field trials are ultimately subservient to variables beyond human control. Temperature, precipitation, and soil moisture exert effect estimates that vastly overpower subtle chemical variations. Therefore, while we can mathematically anchor our thermodynamic extractions, predicting biological field outcomes requires accepting a fundamentally chaotic and uncertain reality.</w:t>
      </w:r>
    </w:p>
    <w:bookmarkEnd w:id="11"/>
    <w:bookmarkStart w:id="16" w:name="X0df14ae5fe92d7e25c8e3c02aaf1e482be40b94"/>
    <w:p>
      <w:pPr>
        <w:pStyle w:val="Heading2"/>
      </w:pPr>
      <w:r>
        <w:t xml:space="preserve">1.4 Unifying Quantity, Intensity, and the Kinetic Bottleneck</w:t>
      </w:r>
    </w:p>
    <w:p>
      <w:pPr>
        <w:pStyle w:val="FirstParagraph"/>
      </w:pPr>
      <w:r>
        <w:t xml:space="preserve">By pairing an Intensity measurement with a mass extraction (</w:t>
      </w:r>
      <m:oMath>
        <m:r>
          <m:t>Q</m:t>
        </m:r>
      </m:oMath>
      <w:r>
        <w:t xml:space="preserve">, such as</w:t>
      </w:r>
      <w:r>
        <w:t xml:space="preserve"> </w:t>
      </w:r>
      <m:oMath>
        <m:sSub>
          <m:e>
            <m:r>
              <m:t>P</m:t>
            </m:r>
          </m:e>
          <m:sub>
            <m:r>
              <m:t>A</m:t>
            </m:r>
            <m:r>
              <m:t>A</m:t>
            </m:r>
            <m:r>
              <m:t>E</m:t>
            </m:r>
            <m:r>
              <m:t>10</m:t>
            </m:r>
          </m:sub>
        </m:sSub>
      </m:oMath>
      <w:r>
        <w:t xml:space="preserve">), we can construct a generalized</w:t>
      </w:r>
      <w:r>
        <w:t xml:space="preserve"> </w:t>
      </w:r>
      <m:oMath>
        <m:r>
          <m:t>Q</m:t>
        </m:r>
        <m:r>
          <m:rPr>
            <m:sty m:val="p"/>
          </m:rPr>
          <m:t>(</m:t>
        </m:r>
        <m:r>
          <m:t>I</m:t>
        </m:r>
        <m:r>
          <m:rPr>
            <m:sty m:val="p"/>
          </m:rPr>
          <m:t>)</m:t>
        </m:r>
      </m:oMath>
      <w:r>
        <w:t xml:space="preserve"> </w:t>
      </w:r>
      <w:r>
        <w:t xml:space="preserve">framework. We parameterize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not because it yields a</w:t>
      </w:r>
      <w:r>
        <w:t xml:space="preserve"> </w:t>
      </w:r>
      <w:r>
        <w:t xml:space="preserve">“true”</w:t>
      </w:r>
      <w:r>
        <w:t xml:space="preserve"> </w:t>
      </w:r>
      <w:r>
        <w:t xml:space="preserve">universal constant, but because its log-log linearization elegantly isolates the baseline capacity (</w:t>
      </w:r>
      <m:oMath>
        <m:sSub>
          <m:e>
            <m:r>
              <m:t>K</m:t>
            </m:r>
          </m:e>
          <m:sub>
            <m:r>
              <m:t>f</m:t>
            </m:r>
          </m:sub>
        </m:sSub>
      </m:oMath>
      <w:r>
        <w:t xml:space="preserve">) and the saturation breakdown (</w:t>
      </w:r>
      <m:oMath>
        <m:r>
          <m:t>n</m:t>
        </m:r>
      </m:oMath>
      <w:r>
        <w:t xml:space="preserve">). This thermodynamic abstraction liberates the analysis from the arbitrary, method-specific bounds of operational extractants (e.g., AAE10 vs. CAL vs. Olsen). It translates disparate empirical measurements into a common, transparent language where the Phosphorus Buffering Capacity (PBC) can be derived as the continuous first derivative (</w:t>
      </w:r>
      <m:oMath>
        <m:f>
          <m:fPr>
            <m:type m:val="bar"/>
          </m:fPr>
          <m:num>
            <m:r>
              <m:t>d</m:t>
            </m:r>
            <m:r>
              <m:t>Q</m:t>
            </m:r>
          </m:num>
          <m:den>
            <m:r>
              <m:t>d</m:t>
            </m:r>
            <m:r>
              <m:t>I</m:t>
            </m:r>
          </m:den>
        </m:f>
      </m:oMath>
      <w:r>
        <w:t xml:space="preserve">) and meaningfully compared across borders.</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2"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Concentration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C</m:t>
                        </m:r>
                        <m:sSub>
                          <m:e>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Kinetic Proxy (This Study)</w:t>
                  </w:r>
                </w:p>
              </w:tc>
              <w:tc>
                <w:tcPr/>
                <w:p>
                  <w:pPr>
                    <w:pStyle w:val="Compact"/>
                    <w:jc w:val="left"/>
                    <w:jc w:val="center"/>
                  </w:pPr>
                  <w:r>
                    <w:t xml:space="preserve">Raw Intensity (</w:t>
                  </w:r>
                  <m:oMath>
                    <m:sSub>
                      <m:e>
                        <m:r>
                          <m:t>P</m:t>
                        </m:r>
                      </m:e>
                      <m:sub>
                        <m:r>
                          <m:t>C</m:t>
                        </m:r>
                        <m:sSub>
                          <m:e>
                            <m:r>
                              <m:t>O</m:t>
                            </m:r>
                          </m:e>
                          <m:sub>
                            <m:r>
                              <m:t>2</m:t>
                            </m:r>
                          </m:sub>
                        </m:sSub>
                      </m:sub>
                    </m:sSub>
                  </m:oMath>
                  <w:r>
                    <w:t xml:space="preserve">)</w:t>
                  </w:r>
                </w:p>
              </w:tc>
              <w:tc>
                <w:tcPr/>
                <w:p>
                  <w:pPr>
                    <w:pStyle w:val="Compact"/>
                    <w:jc w:val="left"/>
                    <w:jc w:val="center"/>
                  </w:pPr>
                  <m:oMath>
                    <m:sSub>
                      <m:e>
                        <m:r>
                          <m:t>P</m:t>
                        </m:r>
                      </m:e>
                      <m:sub>
                        <m:r>
                          <m:t>A</m:t>
                        </m:r>
                        <m:r>
                          <m:t>A</m:t>
                        </m:r>
                        <m:r>
                          <m:t>E</m:t>
                        </m:r>
                        <m:r>
                          <m:t>10</m:t>
                        </m:r>
                      </m:sub>
                    </m:sSub>
                  </m:oMath>
                  <w:r>
                    <w:t xml:space="preserve">​</w:t>
                  </w:r>
                </w:p>
              </w:tc>
              <w:tc>
                <w:tcPr/>
                <w:p>
                  <w:pPr>
                    <w:pStyle w:val="Compact"/>
                    <w:jc w:val="left"/>
                    <w:jc w:val="center"/>
                  </w:pPr>
                  <w:r>
                    <w:t xml:space="preserve">Dynamic Desorption Velocity (</w:t>
                  </w:r>
                  <m:oMath>
                    <m:sSub>
                      <m:e>
                        <m:r>
                          <m:t>v</m:t>
                        </m:r>
                      </m:e>
                      <m:sub>
                        <m:r>
                          <m:t>0</m:t>
                        </m:r>
                      </m:sub>
                    </m:sSub>
                    <m:r>
                      <m:rPr>
                        <m:sty m:val="p"/>
                      </m:rPr>
                      <m:t>=</m:t>
                    </m:r>
                    <m:r>
                      <m:t>k</m:t>
                    </m:r>
                    <m:r>
                      <m:rPr>
                        <m:sty m:val="p"/>
                      </m:rPr>
                      <m:t>⋅</m:t>
                    </m:r>
                    <m:sSub>
                      <m:e>
                        <m:r>
                          <m:t>P</m:t>
                        </m:r>
                      </m:e>
                      <m:sub>
                        <m:r>
                          <m:t>C</m:t>
                        </m:r>
                        <m:sSub>
                          <m:e>
                            <m:r>
                              <m:t>O</m:t>
                            </m:r>
                          </m:e>
                          <m:sub>
                            <m:r>
                              <m:t>2</m:t>
                            </m:r>
                          </m:sub>
                        </m:sSub>
                      </m:sub>
                    </m:sSub>
                  </m:oMath>
                  <w:r>
                    <w:t xml:space="preserve">)</w:t>
                  </w:r>
                </w:p>
              </w:tc>
            </w:tr>
          </w:tbl>
          <w:bookmarkEnd w:id="12"/>
          <w:p/>
        </w:tc>
      </w:tr>
    </w:tbl>
    <w:p>
      <w:pPr>
        <w:pStyle w:val="CaptionedFigure"/>
      </w:pPr>
      <w:r>
        <w:drawing>
          <wp:inline>
            <wp:extent cx="5334000" cy="2291572"/>
            <wp:effectExtent b="0" l="0" r="0" t="0"/>
            <wp:docPr descr="Conceptual model of the rhizosphere phosphorus cycle." title="" id="14" name="Picture"/>
            <a:graphic>
              <a:graphicData uri="http://schemas.openxmlformats.org/drawingml/2006/picture">
                <pic:pic>
                  <pic:nvPicPr>
                    <pic:cNvPr descr="index_files/figure-docx/unnamed-chunk-1-1.pdf" id="15" name="Picture"/>
                    <pic:cNvPicPr>
                      <a:picLocks noChangeArrowheads="1" noChangeAspect="1"/>
                    </pic:cNvPicPr>
                  </pic:nvPicPr>
                  <pic:blipFill>
                    <a:blip r:embed="rId13"/>
                    <a:stretch>
                      <a:fillRect/>
                    </a:stretch>
                  </pic:blipFill>
                  <pic:spPr bwMode="auto">
                    <a:xfrm>
                      <a:off x="0" y="0"/>
                      <a:ext cx="5334000" cy="2291572"/>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6"/>
    <w:bookmarkStart w:id="17" w:name="Xdfc87357402a84a9eb1512aa38aef947e1492a3"/>
    <w:p>
      <w:pPr>
        <w:pStyle w:val="Heading2"/>
      </w:pPr>
      <w:r>
        <w:t xml:space="preserve">1.5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Specifically, it directly answers the call by</w:t>
      </w:r>
      <w:r>
        <w:t xml:space="preserve"> </w:t>
      </w:r>
      <w:r>
        <w:t xml:space="preserve">Jordan-Meille et al. (2012)</w:t>
      </w:r>
      <w:r>
        <w:t xml:space="preserve"> </w:t>
      </w:r>
      <w:r>
        <w:t xml:space="preserve">to replace empirical extraction classes with mechanistic sorption-desorption models.</w:t>
      </w:r>
    </w:p>
    <w:p>
      <w:pPr>
        <w:pStyle w:val="BodyText"/>
      </w:pPr>
      <w:r>
        <w:t xml:space="preserve">Using soils from the long-term Swiss agricultural experiment STYCS, this study aims to validate this framework through the following core objectives and research questions:</w:t>
      </w:r>
    </w:p>
    <w:p>
      <w:pPr>
        <w:pStyle w:val="Compact"/>
        <w:numPr>
          <w:ilvl w:val="0"/>
          <w:numId w:val="1001"/>
        </w:numPr>
      </w:pPr>
      <w:r>
        <w:rPr>
          <w:b/>
          <w:bCs/>
        </w:rPr>
        <w:t xml:space="preserve">Thermodynamic Framework Formulation:</w:t>
      </w:r>
      <w:r>
        <w:t xml:space="preserve"> </w:t>
      </w:r>
      <w:r>
        <w:t xml:space="preserve">Establish generalized</w:t>
      </w:r>
      <w:r>
        <w:t xml:space="preserve"> </w:t>
      </w:r>
      <m:oMath>
        <m:r>
          <m:t>Q</m:t>
        </m:r>
        <m:r>
          <m:rPr>
            <m:sty m:val="p"/>
          </m:rPr>
          <m:t>(</m:t>
        </m:r>
        <m:r>
          <m:t>I</m:t>
        </m:r>
        <m:r>
          <m:rPr>
            <m:sty m:val="p"/>
          </m:rPr>
          <m:t>)</m:t>
        </m:r>
      </m:oMath>
      <w:r>
        <w:t xml:space="preserve"> </w:t>
      </w:r>
      <w:r>
        <w:t xml:space="preserve">isotherms across highly diverse pedoclimatic sites to abstract the buffering capacity into universally comparable parameters (</w:t>
      </w:r>
      <m:oMath>
        <m:sSub>
          <m:e>
            <m:r>
              <m:t>K</m:t>
            </m:r>
          </m:e>
          <m:sub>
            <m:r>
              <m:t>f</m:t>
            </m:r>
          </m:sub>
        </m:sSub>
      </m:oMath>
      <w:r>
        <w:t xml:space="preserve"> </w:t>
      </w:r>
      <w:r>
        <w:t xml:space="preserve">and</w:t>
      </w:r>
      <w:r>
        <w:t xml:space="preserve"> </w:t>
      </w:r>
      <m:oMath>
        <m:r>
          <m:t>n</m:t>
        </m:r>
      </m:oMath>
      <w:r>
        <w:t xml:space="preserve">).</w:t>
      </w:r>
      <w:r>
        <w:t xml:space="preserve"> </w:t>
      </w:r>
      <w:r>
        <w:rPr>
          <w:i/>
          <w:iCs/>
        </w:rPr>
        <w:t xml:space="preserve">Research Question:</w:t>
      </w:r>
      <w:r>
        <w:t xml:space="preserve"> </w:t>
      </w:r>
      <w:r>
        <w:t xml:space="preserve">Is the Swiss GRUD framework and its analytical proxies (</w:t>
      </w:r>
      <m:oMath>
        <m:sSub>
          <m:e>
            <m:r>
              <m:t>P</m:t>
            </m:r>
          </m:e>
          <m:sub>
            <m:r>
              <m:t>C</m:t>
            </m:r>
            <m:sSub>
              <m:e>
                <m:r>
                  <m:t>O</m:t>
                </m:r>
              </m:e>
              <m:sub>
                <m:r>
                  <m:t>2</m:t>
                </m:r>
              </m:sub>
            </m:sSub>
          </m:sub>
        </m:sSub>
      </m:oMath>
      <w:r>
        <w:t xml:space="preserve">,</w:t>
      </w:r>
      <w:r>
        <w:t xml:space="preserve"> </w:t>
      </w:r>
      <m:oMath>
        <m:sSub>
          <m:e>
            <m:r>
              <m:t>P</m:t>
            </m:r>
          </m:e>
          <m:sub>
            <m:r>
              <m:t>A</m:t>
            </m:r>
            <m:r>
              <m:t>A</m:t>
            </m:r>
            <m:r>
              <m:t>E</m:t>
            </m:r>
            <m:r>
              <m:t>10</m:t>
            </m:r>
          </m:sub>
        </m:sSub>
      </m:oMath>
      <w:r>
        <w:t xml:space="preserve">) compliant with the broader European class concept presented by</w:t>
      </w:r>
      <w:r>
        <w:t xml:space="preserve"> </w:t>
      </w:r>
      <w:r>
        <w:t xml:space="preserve">Jordan-Meille et al. (2012)</w:t>
      </w:r>
      <w:r>
        <w:t xml:space="preserve">, and do these empirical classes map meaningfully onto the underlying thermodynamic abstractions of physical desorption kinetics?</w:t>
      </w:r>
    </w:p>
    <w:p>
      <w:pPr>
        <w:pStyle w:val="Compact"/>
        <w:numPr>
          <w:ilvl w:val="0"/>
          <w:numId w:val="1001"/>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w:t>
      </w:r>
      <w:r>
        <w:t xml:space="preserve"> </w:t>
      </w:r>
      <w:r>
        <w:rPr>
          <w:i/>
          <w:iCs/>
        </w:rPr>
        <w:t xml:space="preserve">Hypothesis:</w:t>
      </w:r>
      <w:r>
        <w:t xml:space="preserve"> </w:t>
      </w:r>
      <w:r>
        <w:t xml:space="preserve">The thermodynamically corrected</w:t>
      </w:r>
      <w:r>
        <w:t xml:space="preserve"> </w:t>
      </w:r>
      <m:oMath>
        <m:sSub>
          <m:e>
            <m:r>
              <m:t>J</m:t>
            </m:r>
          </m:e>
          <m:sub>
            <m:r>
              <m:t>0</m:t>
            </m:r>
          </m:sub>
        </m:sSub>
      </m:oMath>
      <w:r>
        <w:t xml:space="preserve"> </w:t>
      </w:r>
      <w:r>
        <w:t xml:space="preserve">will significantly outperform standard static extractions.</w:t>
      </w:r>
    </w:p>
    <w:p>
      <w:pPr>
        <w:pStyle w:val="Compact"/>
        <w:numPr>
          <w:ilvl w:val="0"/>
          <w:numId w:val="1001"/>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r>
        <w:br w:type="page"/>
      </w:r>
    </w:p>
    <w:bookmarkEnd w:id="17"/>
    <w:bookmarkEnd w:id="18"/>
    <w:bookmarkStart w:id="38" w:name="sec-materials-and-methods"/>
    <w:p>
      <w:pPr>
        <w:pStyle w:val="Heading1"/>
      </w:pPr>
      <w:r>
        <w:t xml:space="preserve">2. Materials and Methods</w:t>
      </w:r>
    </w:p>
    <w:bookmarkStart w:id="20"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These treatments were applied annually as triple superphosphate (TSP) before tillage and sowing. The application rates were strictly calibrated as percentages of the site- and crop-specific officially recommended P inputs (the Swiss GRUD norm): 0% (Zero), 33% (Deficit), 67% (Reduced), 100% (Norm), 133% (Elevated), and 167% (Surplus). This rigorous gradient ensures a massive divergence in cumulative P-balances across the 30-year timeframe, forcing distinct pedological responses.</w:t>
      </w:r>
    </w:p>
    <w:p>
      <w:pPr>
        <w:pStyle w:val="BodyText"/>
      </w:pPr>
      <w:r>
        <w:t xml:space="preserve">Crucially, all other macronutrients—including Nitrogen (N), Potassium (K), and Magnesium (Mg)—were applied uniformly across all plots to prevent secondary yield limitations. However, it must be noted that these</w:t>
      </w:r>
      <w:r>
        <w:t xml:space="preserve"> </w:t>
      </w:r>
      <w:r>
        <w:t xml:space="preserve">“non-limiting”</w:t>
      </w:r>
      <w:r>
        <w:t xml:space="preserve"> </w:t>
      </w:r>
      <w:r>
        <w:t xml:space="preserve">applications were structurally calibrated to exactly 100% of their respective empirical Swiss GRUD recommendations, derived from the same matrix of operational soil tests and crop removal estimates criticized in this study. Consequently, the assumption that secondary nutrients were strictly non-limiting throughout the 30-year trial relies entirely on the epistemological validity of the empirical GRUD framework itself—a paradox that underscores the urgent need to transition toward mechanistic, site-specific nutrient modeling.</w:t>
      </w:r>
    </w:p>
    <w:bookmarkStart w:id="19" w:name="Xded92a59ccf5a9c7ee463506294e481c3e8693c"/>
    <w:p>
      <w:pPr>
        <w:pStyle w:val="Heading3"/>
      </w:pPr>
      <w:r>
        <w:t xml:space="preserve">2.1.1 Crop Yield, Phosphorus Uptake, and Balances</w:t>
      </w:r>
    </w:p>
    <w:p>
      <w:pPr>
        <w:pStyle w:val="FirstParagraph"/>
      </w:pPr>
      <w:r>
        <w:t xml:space="preserve">While the fundamental experimental design and baseline data collection follow the protocols described in</w:t>
      </w:r>
      <w:r>
        <w:t xml:space="preserve"> </w:t>
      </w:r>
      <w:r>
        <w:t xml:space="preserve">Hirte et al. (2021)</w:t>
      </w:r>
      <w:r>
        <w:t xml:space="preserve">, the specific processing of the agronomic variables for this study diverges to explicitly isolate the chemical P-limitation.</w:t>
      </w:r>
    </w:p>
    <w:p>
      <w:pPr>
        <w:pStyle w:val="BodyText"/>
      </w:pPr>
      <w:r>
        <w:t xml:space="preserve">Crop yields were measured annually at harvest. Total fresh biomass was recorded, and representative subsamples were oven-dried to determine the absolute dry mass yield. Plant tissue phosphorus concentration (</w:t>
      </w:r>
      <m:oMath>
        <m:sSub>
          <m:e>
            <m:r>
              <m:t>C</m:t>
            </m:r>
          </m:e>
          <m:sub>
            <m:r>
              <m:t>P</m:t>
            </m:r>
          </m:sub>
        </m:sSub>
      </m:oMath>
      <w:r>
        <w:t xml:space="preserve">) was subsequently quantified from these dried subsamples. The total phosphorus uptake (</w:t>
      </w:r>
      <m:oMath>
        <m:sSub>
          <m:e>
            <m:r>
              <m:t>P</m:t>
            </m:r>
          </m:e>
          <m:sub>
            <m:r>
              <m:t>u</m:t>
            </m:r>
            <m:r>
              <m:t>p</m:t>
            </m:r>
            <m:r>
              <m:t>t</m:t>
            </m:r>
            <m:r>
              <m:t>a</m:t>
            </m:r>
            <m:r>
              <m:t>k</m:t>
            </m:r>
            <m:r>
              <m:t>e</m:t>
            </m:r>
          </m:sub>
        </m:sSub>
      </m:oMath>
      <w:r>
        <w:t xml:space="preserve">) for each plot was calculated stoichiometrically as the product of the dry mass yield and the measured</w:t>
      </w:r>
      <w:r>
        <w:t xml:space="preserve"> </w:t>
      </w:r>
      <m:oMath>
        <m:sSub>
          <m:e>
            <m:r>
              <m:t>C</m:t>
            </m:r>
          </m:e>
          <m:sub>
            <m:r>
              <m:t>P</m:t>
            </m:r>
          </m:sub>
        </m:sSub>
      </m:oMath>
      <w:r>
        <w:t xml:space="preserve">.</w:t>
      </w:r>
    </w:p>
    <w:p>
      <w:pPr>
        <w:pStyle w:val="BodyText"/>
      </w:pPr>
      <w:r>
        <w:t xml:space="preserve">To accurately quantify the historical legacy of the different fertilization treatments, the</w:t>
      </w:r>
      <w:r>
        <w:t xml:space="preserve"> </w:t>
      </w:r>
      <w:r>
        <w:rPr>
          <w:b/>
          <w:bCs/>
        </w:rPr>
        <w:t xml:space="preserve">Cumulative P Balance (</w:t>
      </w:r>
      <m:oMath>
        <m:r>
          <m:t>C</m:t>
        </m:r>
        <m:r>
          <m:t>u</m:t>
        </m:r>
        <m:r>
          <m:t>m</m:t>
        </m:r>
        <m:r>
          <m:rPr>
            <m:sty m:val="p"/>
          </m:rPr>
          <m:t>_</m:t>
        </m:r>
        <m:r>
          <m:t>P</m:t>
        </m:r>
        <m:r>
          <m:rPr>
            <m:sty m:val="p"/>
          </m:rPr>
          <m:t>_</m:t>
        </m:r>
        <m:r>
          <m:t>b</m:t>
        </m:r>
        <m:r>
          <m:t>a</m:t>
        </m:r>
        <m:r>
          <m:t>l</m:t>
        </m:r>
      </m:oMath>
      <w:r>
        <w:rPr>
          <w:b/>
          <w:bCs/>
        </w:rPr>
        <w:t xml:space="preserve">)</w:t>
      </w:r>
      <w:r>
        <w:t xml:space="preserve"> </w:t>
      </w:r>
      <w:r>
        <w:t xml:space="preserve">was calculated for each individual plot.</w:t>
      </w:r>
      <w:r>
        <w:t xml:space="preserve"> </w:t>
      </w:r>
      <m:oMath>
        <m:r>
          <m:t>C</m:t>
        </m:r>
        <m:r>
          <m:t>u</m:t>
        </m:r>
        <m:r>
          <m:t>m</m:t>
        </m:r>
        <m:r>
          <m:rPr>
            <m:sty m:val="p"/>
          </m:rPr>
          <m:t>_</m:t>
        </m:r>
        <m:r>
          <m:t>P</m:t>
        </m:r>
        <m:r>
          <m:rPr>
            <m:sty m:val="p"/>
          </m:rPr>
          <m:t>_</m:t>
        </m:r>
        <m:r>
          <m:t>b</m:t>
        </m:r>
        <m:r>
          <m:t>a</m:t>
        </m:r>
        <m:r>
          <m:t>l</m:t>
        </m:r>
      </m:oMath>
      <w:r>
        <w:t xml:space="preserve"> </w:t>
      </w:r>
      <w:r>
        <w:t xml:space="preserve">is defined as the net sum of all P inputs (from the annual TSP fertilization) minus all P outputs (specifically, the P removed from the field via the harvested crop biomass) accumulated over the entire 30-year duration of the trial. This provides a direct, continuous metric of the anthropogenic P surplus or deficit, which drives the underlying thermodynamic buffering systems.</w:t>
      </w:r>
    </w:p>
    <w:bookmarkEnd w:id="19"/>
    <w:bookmarkEnd w:id="20"/>
    <w:bookmarkStart w:id="24" w:name="analytical-workflow-and-data-integration"/>
    <w:p>
      <w:pPr>
        <w:pStyle w:val="Heading2"/>
      </w:pPr>
      <w:r>
        <w:t xml:space="preserve">2.2 Analytical Workflow and Data Integration</w:t>
      </w:r>
    </w:p>
    <w:p>
      <w:pPr>
        <w:pStyle w:val="FirstParagraph"/>
      </w:pPr>
      <w:r>
        <w:t xml:space="preserve">To answer the research questions, the methodology is structured into three highly synchronized, modular steps mapping the raw data to the final agronomic predictions:</w:t>
      </w:r>
    </w:p>
    <w:p>
      <w:pPr>
        <w:pStyle w:val="CaptionedFigure"/>
      </w:pPr>
      <w:r>
        <w:drawing>
          <wp:inline>
            <wp:extent cx="5334000" cy="2973551"/>
            <wp:effectExtent b="0" l="0" r="0" t="0"/>
            <wp:docPr descr="Modular workflow synchronizing data sources, extraction methods, and mathematical models." title="" id="22" name="Picture"/>
            <a:graphic>
              <a:graphicData uri="http://schemas.openxmlformats.org/drawingml/2006/picture">
                <pic:pic>
                  <pic:nvPicPr>
                    <pic:cNvPr descr="index_files/figure-docx/unnamed-chunk-2-1.pdf" id="23" name="Picture"/>
                    <pic:cNvPicPr>
                      <a:picLocks noChangeArrowheads="1" noChangeAspect="1"/>
                    </pic:cNvPicPr>
                  </pic:nvPicPr>
                  <pic:blipFill>
                    <a:blip r:embed="rId21"/>
                    <a:stretch>
                      <a:fillRect/>
                    </a:stretch>
                  </pic:blipFill>
                  <pic:spPr bwMode="auto">
                    <a:xfrm>
                      <a:off x="0" y="0"/>
                      <a:ext cx="5334000" cy="2973551"/>
                    </a:xfrm>
                    <a:prstGeom prst="rect">
                      <a:avLst/>
                    </a:prstGeom>
                    <a:noFill/>
                    <a:ln w="9525">
                      <a:noFill/>
                      <a:headEnd/>
                      <a:tailEnd/>
                    </a:ln>
                  </pic:spPr>
                </pic:pic>
              </a:graphicData>
            </a:graphic>
          </wp:inline>
        </w:drawing>
      </w:r>
    </w:p>
    <w:p>
      <w:pPr>
        <w:pStyle w:val="ImageCaption"/>
      </w:pPr>
      <w:r>
        <w:t xml:space="preserve">Modular workflow synchronizing data sources, extraction methods, and mathematical models.</w:t>
      </w:r>
    </w:p>
    <w:bookmarkEnd w:id="24"/>
    <w:bookmarkStart w:id="26" w:name="sec-experimental-sites"/>
    <w:p>
      <w:pPr>
        <w:pStyle w:val="Heading2"/>
      </w:pPr>
      <w:r>
        <w:t xml:space="preserve">2.3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5"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495"/>
              <w:gridCol w:w="2178"/>
              <w:gridCol w:w="891"/>
              <w:gridCol w:w="891"/>
              <w:gridCol w:w="891"/>
              <w:gridCol w:w="1683"/>
              <w:gridCol w:w="891"/>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Silt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30</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52</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36</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31</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36</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5"/>
          <w:p/>
        </w:tc>
      </w:tr>
    </w:tbl>
    <w:p>
      <w:pPr>
        <w:pStyle w:val="BodyText"/>
      </w:pPr>
      <w:r>
        <w:t xml:space="preserve">Soil samples for this thesis were collected in the year 2022 from the topsoil layer (0-20 cm).</w:t>
      </w:r>
    </w:p>
    <w:bookmarkEnd w:id="26"/>
    <w:bookmarkStart w:id="29" w:name="sec-phosphorus-desorption-kinetics"/>
    <w:p>
      <w:pPr>
        <w:pStyle w:val="Heading2"/>
      </w:pPr>
      <w:r>
        <w:t xml:space="preserve">2.4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thermodynamic activity.</w:t>
      </w:r>
    </w:p>
    <w:bookmarkStart w:id="27" w:name="Xbd6c1e5704c75ae9a98b5e8f17a138b0c980a04"/>
    <w:p>
      <w:pPr>
        <w:pStyle w:val="Heading3"/>
      </w:pPr>
      <w:r>
        <w:t xml:space="preserve">2.4.1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2"/>
        </w:numPr>
      </w:pPr>
      <w:r>
        <w:rPr>
          <w:b/>
          <w:bCs/>
        </w:rPr>
        <w:t xml:space="preserve">Pre-washing to Remove Initial Soluble P</w:t>
      </w:r>
      <w:r>
        <w:t xml:space="preserve">: 10 g of air-dried soil (sieved to &lt; 2 mm) was suspended in 200 ml of deionized water and horizontally shaken for 60 minutes at 120 rpm. The suspension was centrifuged for 15 minutes at 4000 rpm, and the supernatant containing the readily soluble P was completely decanted. The P concentration of this discarded fraction was not quantified in this study, as the primary objective was to reset the soil solution to</w:t>
      </w:r>
      <w:r>
        <w:t xml:space="preserve"> </w:t>
      </w:r>
      <m:oMath>
        <m:r>
          <m:t>P</m:t>
        </m:r>
        <m:r>
          <m:rPr>
            <m:sty m:val="p"/>
          </m:rPr>
          <m:t>≈</m:t>
        </m:r>
        <m:r>
          <m:t>0</m:t>
        </m:r>
      </m:oMath>
      <w:r>
        <w:t xml:space="preserve"> </w:t>
      </w:r>
      <w:r>
        <w:t xml:space="preserve">to isolate the subsequent solid-phase desorption kinetics. No soil was lost during decantation due to the highly compact nature of the pellet.</w:t>
      </w:r>
    </w:p>
    <w:p>
      <w:pPr>
        <w:pStyle w:val="Compact"/>
        <w:numPr>
          <w:ilvl w:val="0"/>
          <w:numId w:val="1002"/>
        </w:numPr>
      </w:pPr>
      <w:r>
        <w:rPr>
          <w:b/>
          <w:bCs/>
        </w:rPr>
        <w:t xml:space="preserve">Kinetic Extraction</w:t>
      </w:r>
      <w:r>
        <w:t xml:space="preserve">: Because the remaining saturated soil pellet was highly compacted from centrifugation, achieving full resuspension required rigorous shaking, meaning the reactive surface area was not perfectly constant at the exact onset of the experiment. The pellet was rapidly resuspended in 200 ml of fresh deionized water to initiate the desorption process. The suspension was shaken continuously. To capture the nonlinear initial release phase, 2 ml subsamples were drawn at precisely eight time points: 2, 4, 10, 15, 20, 30, 45, and 60 minutes.</w:t>
      </w:r>
    </w:p>
    <w:p>
      <w:pPr>
        <w:pStyle w:val="Compact"/>
        <w:numPr>
          <w:ilvl w:val="0"/>
          <w:numId w:val="1002"/>
        </w:numPr>
      </w:pPr>
      <w:r>
        <w:rPr>
          <w:b/>
          <w:bCs/>
        </w:rPr>
        <w:t xml:space="preserve">Analysis</w:t>
      </w:r>
      <w:r>
        <w:t xml:space="preserve">: Each subsample was immediately filtered through a 0.2</w:t>
      </w:r>
      <w:r>
        <w:t xml:space="preserve"> </w:t>
      </w:r>
      <m:oMath>
        <m:r>
          <m:t>μ</m:t>
        </m:r>
      </m:oMath>
      <w:r>
        <w:t xml:space="preserve">m membrane filter to halt desorption, and the stoichiometric concentration of orthophosphate (</w:t>
      </w:r>
      <m:oMath>
        <m:r>
          <m:t>c</m:t>
        </m:r>
        <m:r>
          <m:rPr>
            <m:sty m:val="p"/>
          </m:rPr>
          <m:t>(</m:t>
        </m:r>
        <m:r>
          <m:t>t</m:t>
        </m:r>
        <m:r>
          <m:rPr>
            <m:sty m:val="p"/>
          </m:rPr>
          <m:t>)</m:t>
        </m:r>
      </m:oMath>
      <w:r>
        <w:t xml:space="preserve">) was determined colorimetrically using the malachite green method</w:t>
      </w:r>
      <w:r>
        <w:t xml:space="preserve"> </w:t>
      </w:r>
      <w:r>
        <w:t xml:space="preserve">(Van Veldhoven &amp; Mannaerts, 1987)</w:t>
      </w:r>
      <w:r>
        <w:t xml:space="preserve">.</w:t>
      </w:r>
    </w:p>
    <w:bookmarkEnd w:id="27"/>
    <w:bookmarkStart w:id="28" w:name="X52af6b94b18dfd3ea4f4a0cb0d2cfe28d5b7d8a"/>
    <w:p>
      <w:pPr>
        <w:pStyle w:val="Heading3"/>
      </w:pPr>
      <w:r>
        <w:t xml:space="preserve">2.4.2 Temporal Stability of Amorphous Metal Oxides</w:t>
      </w:r>
    </w:p>
    <w:p>
      <w:pPr>
        <w:pStyle w:val="FirstParagraph"/>
      </w:pPr>
      <w:r>
        <w:t xml:space="preserve">Although the kinetic parameters (</w:t>
      </w:r>
      <m:oMath>
        <m:r>
          <m:t>k</m:t>
        </m:r>
      </m:oMath>
      <w:r>
        <w:t xml:space="preserve">) and geochemical structural variables (</w:t>
      </w:r>
      <m:oMath>
        <m:r>
          <m:t>F</m:t>
        </m:r>
        <m:sSub>
          <m:e>
            <m:r>
              <m:t>e</m:t>
            </m:r>
          </m:e>
          <m:sub>
            <m:r>
              <m:t>o</m:t>
            </m:r>
            <m:r>
              <m:t>x</m:t>
            </m:r>
          </m:sub>
        </m:sSub>
      </m:oMath>
      <w:r>
        <w:t xml:space="preserve">,</w:t>
      </w:r>
      <w:r>
        <w:t xml:space="preserve"> </w:t>
      </w:r>
      <m:oMath>
        <m:r>
          <m:t>A</m:t>
        </m:r>
        <m:sSub>
          <m:e>
            <m:r>
              <m:t>l</m:t>
            </m:r>
          </m:e>
          <m:sub>
            <m:r>
              <m:t>o</m:t>
            </m:r>
            <m:r>
              <m:t>x</m:t>
            </m:r>
          </m:sub>
        </m:sSub>
      </m:oMath>
      <w:r>
        <w:t xml:space="preserve">) were measured comprehensively in the year 2023, they were applied to the entire 26-year historical dataset. This is justified because oxalate-extractable iron and aluminum represent native, poorly-crystalline structural minerals rather than highly dynamic labile nutrient pools. Under constant arable management, these amorphous phases are widely recognized as pedologically stable over decadal timescales</w:t>
      </w:r>
      <w:r>
        <w:t xml:space="preserve"> </w:t>
      </w:r>
      <w:r>
        <w:t xml:space="preserve">(Lookman et al., 1995; Schwertmann, 1964)</w:t>
      </w:r>
      <w:r>
        <w:t xml:space="preserve">. Thus, the 2023 measurements serve as robust, invariant site-means to characterize the fundamental sorption capacity of each experimental field.</w:t>
      </w:r>
    </w:p>
    <w:bookmarkEnd w:id="28"/>
    <w:bookmarkEnd w:id="29"/>
    <w:bookmarkStart w:id="37" w:name="sec-statistical-analysis"/>
    <w:p>
      <w:pPr>
        <w:pStyle w:val="Heading2"/>
      </w:pPr>
      <w:r>
        <w:t xml:space="preserve">2.5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30" w:name="X7929181e516ca46d0c27949168a4411b82a8e61"/>
    <w:p>
      <w:pPr>
        <w:pStyle w:val="Heading3"/>
      </w:pPr>
      <w:r>
        <w:t xml:space="preserve">2.5.1 1. Modeling of Desorption Kinetics and the Desorption Velocity (</w:t>
      </w:r>
      <m:oMath>
        <m:sSub>
          <m:e>
            <m:r>
              <m:t>v</m:t>
            </m:r>
          </m:e>
          <m:sub>
            <m:r>
              <m:t>0</m:t>
            </m:r>
          </m:sub>
        </m:sSub>
      </m:oMath>
      <w:r>
        <w:t xml:space="preserve">)</w:t>
      </w:r>
    </w:p>
    <w:p>
      <w:pPr>
        <w:pStyle w:val="FirstParagraph"/>
      </w:pPr>
      <w:r>
        <w:t xml:space="preserve">To establish the foundational kinetic parameters, physical desorption curves were generated using a modified sequential extraction protocol based on</w:t>
      </w:r>
      <w:r>
        <w:t xml:space="preserve"> </w:t>
      </w:r>
      <w:r>
        <w:t xml:space="preserve">Flossmann &amp; Richter (1982)</w:t>
      </w:r>
      <w:r>
        <w:t xml:space="preserve">. Soil samples were first pre-washed to discard readily soluble P, then resuspended in deionized water and continuously shaken. Subsamples were extracted across a high-resolution time series (2, 4, 10, 15, 20, 30, 45, and 60 minutes), and the orthophosphate concentration was determined colorimetrically using the malachite green method.</w:t>
      </w:r>
    </w:p>
    <w:p>
      <w:pPr>
        <w:pStyle w:val="BodyText"/>
      </w:pPr>
      <w:r>
        <w:rPr>
          <w:b/>
          <w:bCs/>
        </w:rPr>
        <w:t xml:space="preserve">Deriving the Desorption Rate Constant (</w:t>
      </w:r>
      <m:oMath>
        <m:r>
          <m:t>k</m:t>
        </m:r>
      </m:oMath>
      <w:r>
        <w:rPr>
          <w:b/>
          <w:bCs/>
        </w:rPr>
        <w:t xml:space="preserve">):</w:t>
      </w:r>
      <w:r>
        <w:t xml:space="preserve"> </w:t>
      </w:r>
      <w:r>
        <w:t xml:space="preserve">A non-linear mixed-effects model (</w:t>
      </w:r>
      <w:r>
        <w:rPr>
          <w:rStyle w:val="VerbatimChar"/>
        </w:rPr>
        <w:t xml:space="preserve">nlme</w:t>
      </w:r>
      <w:r>
        <w:t xml:space="preserve">) was fitted to these high-resolution extraction curves. The desorption process was modeled as a hyperbolic, asymptotic saturation curve derived from the exact solution of the first-order rate equation:</w:t>
      </w:r>
    </w:p>
    <w:p>
      <w:pPr>
        <w:pStyle w:val="BodyText"/>
      </w:pPr>
      <m:oMathPara>
        <m:oMathParaPr>
          <m:jc m:val="center"/>
        </m:oMathParaPr>
        <m:oMath>
          <m:r>
            <m:t>c</m:t>
          </m:r>
          <m:r>
            <m:rPr>
              <m:sty m:val="p"/>
            </m:rPr>
            <m:t>(</m:t>
          </m:r>
          <m:r>
            <m:t>t</m:t>
          </m:r>
          <m:r>
            <m:rPr>
              <m:sty m:val="p"/>
            </m:rPr>
            <m:t>)</m:t>
          </m:r>
          <m:r>
            <m:rPr>
              <m:sty m:val="p"/>
            </m:rPr>
            <m:t>=</m:t>
          </m:r>
          <m:sSub>
            <m:e>
              <m:r>
                <m:t>c</m:t>
              </m:r>
            </m:e>
            <m:sub>
              <m:r>
                <m:t>m</m:t>
              </m:r>
              <m:r>
                <m:t>a</m:t>
              </m:r>
              <m:r>
                <m:t>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desorbed P concentration at time</w:t>
      </w:r>
      <w:r>
        <w:t xml:space="preserve"> </w:t>
      </w:r>
      <m:oMath>
        <m:r>
          <m:t>t</m:t>
        </m:r>
      </m:oMath>
      <w:r>
        <w:t xml:space="preserve">,</w:t>
      </w:r>
      <w:r>
        <w:t xml:space="preserve"> </w:t>
      </w:r>
      <m:oMath>
        <m:sSub>
          <m:e>
            <m:r>
              <m:t>c</m:t>
            </m:r>
          </m:e>
          <m:sub>
            <m:r>
              <m:t>m</m:t>
            </m:r>
            <m:r>
              <m:t>a</m:t>
            </m:r>
            <m:r>
              <m:t>x</m:t>
            </m:r>
          </m:sub>
        </m:sSub>
      </m:oMath>
      <w:r>
        <w:t xml:space="preserve"> </w:t>
      </w:r>
      <w:r>
        <w:t xml:space="preserve">is the maximum size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r>
          <m:rPr>
            <m:sty m:val="p"/>
          </m:rPr>
          <m:t>+</m:t>
        </m:r>
        <m:r>
          <m:t>3</m:t>
        </m:r>
        <m:r>
          <m:rPr>
            <m:nor/>
            <m:sty m:val="p"/>
          </m:rPr>
          <m:t> min</m:t>
        </m:r>
      </m:oMath>
      <w:r>
        <w:t xml:space="preserve">) representing the empirically determined handling and resuspension time delay required to break apart the centrifuged pellet before true, uniform first-order desorption commenced. Sample-specific deviations were managed with the nested random effect structure</w:t>
      </w:r>
      <w:r>
        <w:t xml:space="preserve"> </w:t>
      </w:r>
      <w:r>
        <w:rPr>
          <w:rStyle w:val="VerbatimChar"/>
        </w:rPr>
        <w:t xml:space="preserve">c_max + k ~ 1 | site / plot</w:t>
      </w:r>
      <w:r>
        <w:t xml:space="preserve">, allowing both parameters to vary freely across sites and individual field plots.</w:t>
      </w:r>
    </w:p>
    <w:p>
      <w:pPr>
        <w:pStyle w:val="BodyText"/>
      </w:pPr>
      <w:r>
        <w:rPr>
          <w:b/>
          <w:bCs/>
        </w:rPr>
        <w:t xml:space="preserve">Upscaling via Pedotransfer Function (PTF):</w:t>
      </w:r>
      <w:r>
        <w:t xml:space="preserve"> </w:t>
      </w:r>
      <w:r>
        <w:t xml:space="preserve">Because this labor-intensive 60-minute kinetic extraction cannot be retroactively applied to the entire 30-year historical STYCS archive, a fundamental</w:t>
      </w:r>
      <w:r>
        <w:t xml:space="preserve"> </w:t>
      </w:r>
      <w:r>
        <w:rPr>
          <w:b/>
          <w:bCs/>
        </w:rPr>
        <w:t xml:space="preserve">Pedotransfer Function (PTF)</w:t>
      </w:r>
      <w:r>
        <w:t xml:space="preserve"> </w:t>
      </w:r>
      <w:r>
        <w:t xml:space="preserve">was constructed to predict the rate constant for missing soils and treatments. To ensure the upscaling process remained rigorously grounded in established mechanistic physics rather than arbitrary empirical correlations, the PTF was structured upon the Arrhenius equation—where reaction rates are driven by the competing activation energies of dominant sorption surfaces. Accordingly, a linear model (</w:t>
      </w:r>
      <w:r>
        <w:rPr>
          <w:rStyle w:val="VerbatimChar"/>
        </w:rPr>
        <w:t xml:space="preserve">lm</w:t>
      </w:r>
      <w:r>
        <w:t xml:space="preserve">) was trained to predict</w:t>
      </w:r>
      <w:r>
        <w:t xml:space="preserve"> </w:t>
      </w:r>
      <m:oMath>
        <m:r>
          <m:rPr>
            <m:sty m:val="p"/>
          </m:rPr>
          <m:t>ln</m:t>
        </m:r>
        <m:r>
          <m:rPr>
            <m:sty m:val="p"/>
          </m:rPr>
          <m:t>(</m:t>
        </m:r>
        <m:r>
          <m:t>k</m:t>
        </m:r>
        <m:r>
          <m:rPr>
            <m:sty m:val="p"/>
          </m:rPr>
          <m:t>)</m:t>
        </m:r>
      </m:oMath>
      <w:r>
        <w:t xml:space="preserve"> </w:t>
      </w:r>
      <w:r>
        <w:t xml:space="preserve">using explicitly pedogenetic predictor variables: the natural log of the ratio of amorphous aluminum to iron oxides (</w:t>
      </w:r>
      <m:oMath>
        <m:r>
          <m:rPr>
            <m:sty m:val="p"/>
          </m:rPr>
          <m:t>ln</m:t>
        </m:r>
        <m:r>
          <m:rPr>
            <m:sty m:val="p"/>
          </m:rPr>
          <m:t>(</m:t>
        </m:r>
        <m:r>
          <m:t>A</m:t>
        </m:r>
        <m:sSub>
          <m:e>
            <m:r>
              <m:t>l</m:t>
            </m:r>
          </m:e>
          <m:sub>
            <m:r>
              <m:t>o</m:t>
            </m:r>
            <m:r>
              <m:t>x</m:t>
            </m:r>
          </m:sub>
        </m:sSub>
        <m:r>
          <m:rPr>
            <m:sty m:val="p"/>
          </m:rPr>
          <m:t>/</m:t>
        </m:r>
        <m:r>
          <m:t>F</m:t>
        </m:r>
        <m:sSub>
          <m:e>
            <m:r>
              <m:t>e</m:t>
            </m:r>
          </m:e>
          <m:sub>
            <m:r>
              <m:t>o</m:t>
            </m:r>
            <m:r>
              <m:t>x</m:t>
            </m:r>
          </m:sub>
        </m:sSub>
        <m:r>
          <m:rPr>
            <m:sty m:val="p"/>
          </m:rPr>
          <m:t>)</m:t>
        </m:r>
      </m:oMath>
      <w:r>
        <w:t xml:space="preserve">) and soil pH.</w:t>
      </w:r>
    </w:p>
    <w:p>
      <w:pPr>
        <w:pStyle w:val="BodyText"/>
      </w:pPr>
      <w:r>
        <w:t xml:space="preserve">By anchoring the PTF to these inherently pedogenetic (treatment-independent) geochemical traits, we successfully extrapolated a predicted rate constant (</w:t>
      </w:r>
      <m:oMath>
        <m:sSub>
          <m:e>
            <m:r>
              <m:t>k</m:t>
            </m:r>
          </m:e>
          <m:sub>
            <m:r>
              <m:t>p</m:t>
            </m:r>
            <m:r>
              <m:t>r</m:t>
            </m:r>
            <m:r>
              <m:t>e</m:t>
            </m:r>
            <m:r>
              <m:t>d</m:t>
            </m:r>
          </m:sub>
        </m:sSub>
      </m:oMath>
      <w:r>
        <w:t xml:space="preserve">) for every spatial and temporal plot in the dataset.</w:t>
      </w:r>
    </w:p>
    <w:p>
      <w:pPr>
        <w:pStyle w:val="BodyText"/>
      </w:pPr>
      <w:r>
        <w:t xml:space="preserve">From these predicted parameters, a novel proxy for agronomic availability, the</w:t>
      </w:r>
      <w:r>
        <w:t xml:space="preserve"> </w:t>
      </w:r>
      <w:r>
        <w:rPr>
          <w:b/>
          <w:bCs/>
        </w:rPr>
        <w:t xml:space="preserve">Dynamic Desorption Velocity (</w:t>
      </w:r>
      <m:oMath>
        <m:sSub>
          <m:e>
            <m:r>
              <m:t>v</m:t>
            </m:r>
          </m:e>
          <m:sub>
            <m:r>
              <m:t>0</m:t>
            </m:r>
          </m:sub>
        </m:sSub>
      </m:oMath>
      <w:r>
        <w:rPr>
          <w:b/>
          <w:bCs/>
        </w:rPr>
        <w:t xml:space="preserve">)</w:t>
      </w:r>
      <w:r>
        <w:t xml:space="preserve">, was defined mathematically as the product of the predicted rate constant and the historically measured static concentration pool:</w:t>
      </w:r>
    </w:p>
    <w:p>
      <w:pPr>
        <w:pStyle w:val="BodyText"/>
      </w:pPr>
      <m:oMathPara>
        <m:oMathParaPr>
          <m:jc m:val="center"/>
        </m:oMathParaPr>
        <m:oMath>
          <m:sSub>
            <m:e>
              <m:r>
                <m:t>v</m:t>
              </m:r>
            </m:e>
            <m:sub>
              <m:r>
                <m:t>0</m:t>
              </m:r>
            </m:sub>
          </m:sSub>
          <m:r>
            <m:rPr>
              <m:sty m:val="p"/>
            </m:rPr>
            <m:t>=</m:t>
          </m:r>
          <m:sSub>
            <m:e>
              <m:r>
                <m:t>k</m:t>
              </m:r>
            </m:e>
            <m:sub>
              <m:r>
                <m:t>p</m:t>
              </m:r>
              <m:r>
                <m:t>r</m:t>
              </m:r>
              <m:r>
                <m:t>e</m:t>
              </m:r>
              <m:r>
                <m:t>d</m:t>
              </m:r>
            </m:sub>
          </m:sSub>
          <m:r>
            <m:rPr>
              <m:sty m:val="p"/>
            </m:rPr>
            <m:t>⋅</m:t>
          </m:r>
          <m:sSub>
            <m:e>
              <m:r>
                <m:t>P</m:t>
              </m:r>
            </m:e>
            <m:sub>
              <m:r>
                <m:t>C</m:t>
              </m:r>
              <m:sSub>
                <m:e>
                  <m:r>
                    <m:t>O</m:t>
                  </m:r>
                </m:e>
                <m:sub>
                  <m:r>
                    <m:t>2</m:t>
                  </m:r>
                </m:sub>
              </m:sSub>
            </m:sub>
          </m:sSub>
        </m:oMath>
      </m:oMathPara>
    </w:p>
    <w:bookmarkEnd w:id="30"/>
    <w:bookmarkStart w:id="31" w:name="X1cf47a909557ed9ebde43d137cb1950c10fa0a6"/>
    <w:p>
      <w:pPr>
        <w:pStyle w:val="Heading3"/>
      </w:pPr>
      <w:r>
        <w:t xml:space="preserve">2.5.2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t>A</m:t>
            </m:r>
            <m:r>
              <m:t>A</m:t>
            </m:r>
            <m:r>
              <m:t>E</m:t>
            </m:r>
            <m:r>
              <m:t>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t>m</m:t>
            </m:r>
            <m:r>
              <m:t>a</m:t>
            </m:r>
            <m:r>
              <m:t>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 It must be acknowledged that relying on</w:t>
      </w:r>
      <w:r>
        <w:t xml:space="preserve"> </w:t>
      </w:r>
      <m:oMath>
        <m:sSub>
          <m:e>
            <m:r>
              <m:t>P</m:t>
            </m:r>
          </m:e>
          <m:sub>
            <m:r>
              <m:t>A</m:t>
            </m:r>
            <m:r>
              <m:t>A</m:t>
            </m:r>
            <m:r>
              <m:t>E</m:t>
            </m:r>
            <m:r>
              <m:t>10</m:t>
            </m:r>
          </m:sub>
        </m:sSub>
      </m:oMath>
      <w:r>
        <w:t xml:space="preserve"> </w:t>
      </w:r>
      <w:r>
        <w:t xml:space="preserve">as a proxy for absolute thermodynamic Quantity carries inherent mechanistic limitations. As demonstrated by isotopic exchange kinetics (IEK) studies, the extraction fluid’s EDTA chelator actively dissolves non-exchangeable calcium phosphates—particularly in high-pH or high-CEC clays—leading to isotopic recovery rates as low as 25%</w:t>
      </w:r>
      <w:r>
        <w:t xml:space="preserve"> </w:t>
      </w:r>
      <w:r>
        <w:t xml:space="preserve">(Demaria et al., 2005)</w:t>
      </w:r>
      <w:r>
        <w:t xml:space="preserve">. Furthermore, in heavily buffered clay soils, the chelator physically saturates when overwhelmed by exchangeable background cations. Once saturated, the test becomes entirely</w:t>
      </w:r>
      <w:r>
        <w:t xml:space="preserve"> </w:t>
      </w:r>
      <w:r>
        <w:t xml:space="preserve">“blind”</w:t>
      </w:r>
      <w:r>
        <w:t xml:space="preserve"> </w:t>
      </w:r>
      <w:r>
        <w:t xml:space="preserve">to any further thermodynamic</w:t>
      </w:r>
      <w:r>
        <w:t xml:space="preserve"> </w:t>
      </w:r>
      <m:oMath>
        <m:r>
          <m:t>Q</m:t>
        </m:r>
      </m:oMath>
      <w:r>
        <w:t xml:space="preserve">, artificially collapsing the measured</w:t>
      </w:r>
      <w:r>
        <w:t xml:space="preserve"> </w:t>
      </w:r>
      <m:oMath>
        <m:r>
          <m:rPr>
            <m:sty m:val="p"/>
          </m:rPr>
          <m:t>Δ</m:t>
        </m:r>
        <m:r>
          <m:t>Q</m:t>
        </m:r>
      </m:oMath>
      <w:r>
        <w:t xml:space="preserve"> </w:t>
      </w:r>
      <w:r>
        <w:t xml:space="preserve">parameter.</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 </w:t>
      </w:r>
      <w:r>
        <w:t xml:space="preserve">(Freundlich, 1906)</w:t>
      </w:r>
      <w:r>
        <w:t xml:space="preserve">, which is universally recognized for describing ion sorption on heterogeneous soil surfaces:</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apparent Phosphorus Buffering Capacity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p>
      <w:pPr>
        <w:pStyle w:val="FirstParagraph"/>
      </w:pPr>
      <w:r>
        <w:rPr>
          <w:b/>
          <w:bCs/>
        </w:rPr>
        <w:t xml:space="preserve">Predicting Quantity via Pedotransfer Functions (PTF)</w:t>
      </w:r>
      <w:r>
        <w:t xml:space="preserve"> </w:t>
      </w:r>
      <w:r>
        <w:t xml:space="preserve">To evaluate the practical scalability of these thermodynamic concepts, empirical Quantity (</w:t>
      </w:r>
      <m:oMath>
        <m:sSub>
          <m:e>
            <m:r>
              <m:t>P</m:t>
            </m:r>
          </m:e>
          <m:sub>
            <m:r>
              <m:t>A</m:t>
            </m:r>
            <m:r>
              <m:t>A</m:t>
            </m:r>
            <m:r>
              <m:t>E</m:t>
            </m:r>
            <m:r>
              <m:t>10</m:t>
            </m:r>
          </m:sub>
        </m:sSub>
      </m:oMath>
      <w:r>
        <w:t xml:space="preserve">) was modeled directly from Intensity using a log-linear mixed-effects model (</w:t>
      </w:r>
      <w:r>
        <w:rPr>
          <w:rStyle w:val="VerbatimChar"/>
        </w:rPr>
        <w:t xml:space="preserve">lme</w:t>
      </w:r>
      <w:r>
        <w:t xml:space="preserve">):</w:t>
      </w:r>
    </w:p>
    <w:p>
      <w:pPr>
        <w:pStyle w:val="BodyText"/>
      </w:pPr>
      <m:oMathPara>
        <m:oMathParaPr>
          <m:jc m:val="center"/>
        </m:oMathParaPr>
        <m:oMath>
          <m:r>
            <m:rPr>
              <m:sty m:val="p"/>
            </m:rPr>
            <m:t>ln</m:t>
          </m:r>
          <m:r>
            <m:rPr>
              <m:sty m:val="p"/>
            </m:rPr>
            <m:t>(</m:t>
          </m:r>
          <m:r>
            <m:t>Q</m:t>
          </m:r>
          <m:r>
            <m:rPr>
              <m:sty m:val="p"/>
            </m:rPr>
            <m:t>)</m:t>
          </m:r>
          <m:r>
            <m:rPr>
              <m:sty m:val="p"/>
            </m:rPr>
            <m:t>=</m:t>
          </m:r>
          <m:sSub>
            <m:e>
              <m:r>
                <m:t>β</m:t>
              </m:r>
            </m:e>
            <m:sub>
              <m:r>
                <m:t>0</m:t>
              </m:r>
            </m:sub>
          </m:sSub>
          <m:r>
            <m:rPr>
              <m:sty m:val="p"/>
            </m:rPr>
            <m:t>+</m:t>
          </m:r>
          <m:sSub>
            <m:e>
              <m:r>
                <m:t>β</m:t>
              </m:r>
            </m:e>
            <m:sub>
              <m:r>
                <m:t>I</m:t>
              </m:r>
            </m:sub>
          </m:sSub>
          <m:r>
            <m:rPr>
              <m:sty m:val="p"/>
            </m:rPr>
            <m:t>⋅</m:t>
          </m:r>
          <m:r>
            <m:rPr>
              <m:sty m:val="p"/>
            </m:rPr>
            <m:t>ln</m:t>
          </m:r>
          <m:r>
            <m:rPr>
              <m:sty m:val="p"/>
            </m:rPr>
            <m:t>(</m:t>
          </m:r>
          <m:r>
            <m:t>I</m:t>
          </m:r>
          <m:r>
            <m:rPr>
              <m:sty m:val="p"/>
            </m:rPr>
            <m:t>)</m:t>
          </m:r>
          <m:r>
            <m:rPr>
              <m:sty m:val="p"/>
            </m:rPr>
            <m:t>+</m:t>
          </m:r>
          <m:r>
            <m:rPr>
              <m:sty m:val="p"/>
            </m:rPr>
            <m:t>∑</m:t>
          </m:r>
          <m:r>
            <m:rPr>
              <m:sty m:val="p"/>
            </m:rPr>
            <m:t>(</m:t>
          </m:r>
          <m:sSub>
            <m:e>
              <m:r>
                <m:t>β</m:t>
              </m:r>
            </m:e>
            <m:sub>
              <m:r>
                <m:t>j</m:t>
              </m:r>
            </m:sub>
          </m:sSub>
          <m:r>
            <m:rPr>
              <m:sty m:val="p"/>
            </m:rPr>
            <m:t>⋅</m:t>
          </m:r>
          <m:sSub>
            <m:e>
              <m:r>
                <m:t>Z</m:t>
              </m:r>
            </m:e>
            <m:sub>
              <m:r>
                <m:t>j</m:t>
              </m:r>
            </m:sub>
          </m:sSub>
          <m:r>
            <m:rPr>
              <m:sty m:val="p"/>
            </m:rPr>
            <m:t>)</m:t>
          </m:r>
          <m:r>
            <m:rPr>
              <m:sty m:val="p"/>
            </m:rPr>
            <m:t>+</m:t>
          </m:r>
          <m:r>
            <m:rPr>
              <m:sty m:val="p"/>
            </m:rPr>
            <m:t>ln</m:t>
          </m:r>
          <m:r>
            <m:rPr>
              <m:sty m:val="p"/>
            </m:rPr>
            <m:t>(</m:t>
          </m:r>
          <m:r>
            <m:t>I</m:t>
          </m:r>
          <m:r>
            <m:rPr>
              <m:sty m:val="p"/>
            </m:rPr>
            <m:t>)</m:t>
          </m:r>
          <m:r>
            <m:rPr>
              <m:sty m:val="p"/>
            </m:rPr>
            <m:t>∑</m:t>
          </m:r>
          <m:r>
            <m:rPr>
              <m:sty m:val="p"/>
            </m:rPr>
            <m:t>(</m:t>
          </m:r>
          <m:sSub>
            <m:e>
              <m:r>
                <m:t>β</m:t>
              </m:r>
            </m:e>
            <m:sub>
              <m:r>
                <m:t>i</m:t>
              </m:r>
              <m:r>
                <m:t>n</m:t>
              </m:r>
              <m:r>
                <m:t>t</m:t>
              </m:r>
              <m:r>
                <m:rPr>
                  <m:sty m:val="p"/>
                </m:rPr>
                <m:t>,</m:t>
              </m:r>
              <m:r>
                <m:t>j</m:t>
              </m:r>
            </m:sub>
          </m:sSub>
          <m:r>
            <m:rPr>
              <m:sty m:val="p"/>
            </m:rPr>
            <m:t>⋅</m:t>
          </m:r>
          <m:sSub>
            <m:e>
              <m:r>
                <m:t>Z</m:t>
              </m:r>
            </m:e>
            <m:sub>
              <m:r>
                <m:t>j</m:t>
              </m:r>
            </m:sub>
          </m:sSub>
          <m:r>
            <m:rPr>
              <m:sty m:val="p"/>
            </m:rPr>
            <m:t>)</m:t>
          </m:r>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oMath>
      </m:oMathPara>
    </w:p>
    <w:p>
      <w:pPr>
        <w:pStyle w:val="Compact"/>
        <w:numPr>
          <w:ilvl w:val="0"/>
          <w:numId w:val="1003"/>
        </w:numPr>
      </w:pPr>
      <w:r>
        <w:rPr>
          <w:b/>
          <w:bCs/>
        </w:rPr>
        <w:t xml:space="preserve">The Covariates (</w:t>
      </w:r>
      <m:oMath>
        <m:sSub>
          <m:e>
            <m:r>
              <m:t>Z</m:t>
            </m:r>
          </m:e>
          <m:sub>
            <m:r>
              <m:t>j</m:t>
            </m:r>
          </m:sub>
        </m:sSub>
      </m:oMath>
      <w:r>
        <w:rPr>
          <w:b/>
          <w:bCs/>
        </w:rPr>
        <w:t xml:space="preserve">):</w:t>
      </w:r>
      <w:r>
        <w:t xml:space="preserve"> </w:t>
      </w:r>
      <w:r>
        <w:t xml:space="preserve">Geochemical pedotransfer variables including soil fine texture (clay + silt), pH,</w:t>
      </w:r>
      <w:r>
        <w:t xml:space="preserve"> </w:t>
      </w:r>
      <m:oMath>
        <m:sSub>
          <m:e>
            <m:r>
              <m:t>C</m:t>
            </m:r>
          </m:e>
          <m:sub>
            <m:r>
              <m:t>o</m:t>
            </m:r>
            <m:r>
              <m:t>r</m:t>
            </m:r>
            <m:r>
              <m:t>g</m:t>
            </m:r>
          </m:sub>
        </m:sSub>
      </m:oMath>
      <w:r>
        <w:t xml:space="preserve">, and exchangeable background cations (Ca, Mg, K). These are mechanistically justified as they structurally determine the density and binding energy of the soil’s sorption complexes (e.g., amorphous metal oxides and calcium carbonates).</w:t>
      </w:r>
    </w:p>
    <w:p>
      <w:pPr>
        <w:pStyle w:val="Compact"/>
        <w:numPr>
          <w:ilvl w:val="0"/>
          <w:numId w:val="1003"/>
        </w:numPr>
      </w:pPr>
      <w:r>
        <w:rPr>
          <w:b/>
          <w:bCs/>
        </w:rPr>
        <w:t xml:space="preserve">Interaction Terms:</w:t>
      </w:r>
      <w:r>
        <w:t xml:space="preserve"> </w:t>
      </w:r>
      <w:r>
        <w:t xml:space="preserve">The covariates directly interact with Intensity because the</w:t>
      </w:r>
      <w:r>
        <w:t xml:space="preserve"> </w:t>
      </w:r>
      <w:r>
        <w:rPr>
          <w:i/>
          <w:iCs/>
        </w:rPr>
        <w:t xml:space="preserve">slope</w:t>
      </w:r>
      <w:r>
        <w:t xml:space="preserve"> </w:t>
      </w:r>
      <w:r>
        <w:t xml:space="preserve">of the Q/I isotherm (the buffer power) is fundamentally altered by these intrinsic geochemical properties.</w:t>
      </w:r>
    </w:p>
    <w:p>
      <w:pPr>
        <w:pStyle w:val="Compact"/>
        <w:numPr>
          <w:ilvl w:val="0"/>
          <w:numId w:val="1003"/>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 temporal and spatial intercepts designed to rigorously absorb unmeasured macro-climatic shifts and temporal biological chaos (e.g. frost timing, pest pressure, radiation) across the different experimental years, preventing pseudo-replication.</w:t>
      </w:r>
    </w:p>
    <w:bookmarkEnd w:id="31"/>
    <w:bookmarkStart w:id="32" w:name="Xabb01b57ff113ec02c5d4670ac80eb02b5ef105"/>
    <w:p>
      <w:pPr>
        <w:pStyle w:val="Heading3"/>
      </w:pPr>
      <w:r>
        <w:t xml:space="preserve">2.5.3 3. Agronomic Normalization: Controlling Pedoclimatic Noise</w:t>
      </w:r>
    </w:p>
    <w:p>
      <w:pPr>
        <w:pStyle w:val="FirstParagraph"/>
      </w:pPr>
      <w:r>
        <w:t xml:space="preserve">To rigorously separate underlying P-limitation from the immense baseline yield variance caused by pedoclimatic shifts and crop genetics, all raw yield and P-uptake metrics were normalized to a biologically strict empirical ceiling. For every combination of site, year, and crop, the absolute maximum value observed across all fertilization treatments was assigned as</w:t>
      </w:r>
      <w:r>
        <w:t xml:space="preserve"> </w:t>
      </w:r>
      <m:oMath>
        <m:r>
          <m:t>100</m:t>
        </m:r>
        <m:r>
          <m:rPr>
            <m:sty m:val="p"/>
          </m:rPr>
          <m:t>%</m:t>
        </m:r>
      </m:oMath>
      <w:r>
        <w:t xml:space="preserve"> </w:t>
      </w:r>
      <w:r>
        <w:t xml:space="preserve">capacity.</w:t>
      </w:r>
    </w:p>
    <w:p>
      <w:pPr>
        <w:pStyle w:val="BodyText"/>
      </w:pPr>
      <m:oMathPara>
        <m:oMathParaPr>
          <m:jc m:val="center"/>
        </m:oMathParaPr>
        <m:oMath>
          <m:sSub>
            <m:e>
              <m:r>
                <m:t>Y</m:t>
              </m:r>
            </m:e>
            <m:sub>
              <m:r>
                <m:t>r</m:t>
              </m:r>
              <m:r>
                <m:t>e</m:t>
              </m:r>
              <m:r>
                <m:t>l</m:t>
              </m:r>
            </m:sub>
          </m:sSub>
          <m:r>
            <m:rPr>
              <m:sty m:val="p"/>
            </m:rPr>
            <m:t>=</m:t>
          </m:r>
          <m:f>
            <m:fPr>
              <m:type m:val="bar"/>
            </m:fPr>
            <m:num>
              <m:sSub>
                <m:e>
                  <m:r>
                    <m:t>Y</m:t>
                  </m:r>
                </m:e>
                <m:sub>
                  <m:r>
                    <m:t>p</m:t>
                  </m:r>
                  <m:r>
                    <m:t>l</m:t>
                  </m:r>
                  <m:r>
                    <m:t>o</m:t>
                  </m:r>
                  <m:r>
                    <m:t>t</m:t>
                  </m:r>
                </m:sub>
              </m:sSub>
            </m:num>
            <m:den>
              <m:limLow>
                <m:e>
                  <m:r>
                    <m:rPr>
                      <m:sty m:val="p"/>
                    </m:rPr>
                    <m:t>max</m:t>
                  </m:r>
                </m:e>
                <m:lim>
                  <m:r>
                    <m:t>t</m:t>
                  </m:r>
                  <m:r>
                    <m:t>r</m:t>
                  </m:r>
                  <m:r>
                    <m:t>e</m:t>
                  </m:r>
                  <m:r>
                    <m:t>a</m:t>
                  </m:r>
                  <m:r>
                    <m:t>t</m:t>
                  </m:r>
                  <m:r>
                    <m:t>m</m:t>
                  </m:r>
                  <m:r>
                    <m:t>e</m:t>
                  </m:r>
                  <m:r>
                    <m:t>n</m:t>
                  </m:r>
                  <m:r>
                    <m:t>t</m:t>
                  </m:r>
                </m:lim>
              </m:limLow>
              <m:r>
                <m:rPr>
                  <m:sty m:val="p"/>
                </m:rPr>
                <m:t>(</m:t>
              </m:r>
              <m:r>
                <m:t>Y</m:t>
              </m:r>
              <m:sSub>
                <m:e>
                  <m:r>
                    <m:rPr>
                      <m:sty m:val="p"/>
                    </m:rPr>
                    <m:t>)</m:t>
                  </m:r>
                </m:e>
                <m:sub>
                  <m:r>
                    <m:t>s</m:t>
                  </m:r>
                  <m:r>
                    <m:t>i</m:t>
                  </m:r>
                  <m:r>
                    <m:t>t</m:t>
                  </m:r>
                  <m:r>
                    <m:t>e</m:t>
                  </m:r>
                  <m:r>
                    <m:rPr>
                      <m:sty m:val="p"/>
                    </m:rPr>
                    <m:t>,</m:t>
                  </m:r>
                  <m:r>
                    <m:t>y</m:t>
                  </m:r>
                  <m:r>
                    <m:t>e</m:t>
                  </m:r>
                  <m:r>
                    <m:t>a</m:t>
                  </m:r>
                  <m:r>
                    <m:t>r</m:t>
                  </m:r>
                  <m:r>
                    <m:rPr>
                      <m:sty m:val="p"/>
                    </m:rPr>
                    <m:t>,</m:t>
                  </m:r>
                  <m:r>
                    <m:t>c</m:t>
                  </m:r>
                  <m:r>
                    <m:t>r</m:t>
                  </m:r>
                  <m:r>
                    <m:t>o</m:t>
                  </m:r>
                  <m:r>
                    <m:t>p</m:t>
                  </m:r>
                </m:sub>
              </m:sSub>
            </m:den>
          </m:f>
        </m:oMath>
      </m:oMathPara>
    </w:p>
    <w:p>
      <w:pPr>
        <w:pStyle w:val="FirstParagraph"/>
      </w:pPr>
      <w:r>
        <w:t xml:space="preserve">Unlike using a specific fertilization label (e.g., the P166 treatment average), this method guarantees that the phenomenological Mitscherlich asymptote of</w:t>
      </w:r>
      <w:r>
        <w:t xml:space="preserve"> </w:t>
      </w:r>
      <m:oMath>
        <m:r>
          <m:t>1.0</m:t>
        </m:r>
      </m:oMath>
      <w:r>
        <w:t xml:space="preserve"> </w:t>
      </w:r>
      <w:r>
        <w:t xml:space="preserve">is strictly bounded. It ensures that the unconstrained biological ceiling for that specific environment is defined by the actual absolute maximum biomass it produced, structurally eliminating random negative constraints (e.g., localized compaction or pest damage) that might artificially depress a specific treatment average. This mathematical operation removes the variance in the absolute biological ceiling, strictly isolating the chemical P-limitation from the overarching temporal pedoclimatic noise.</w:t>
      </w:r>
    </w:p>
    <w:bookmarkEnd w:id="32"/>
    <w:bookmarkStart w:id="34" w:name="X58542cabf128eedeee182ac79d5f1c7c4f09633"/>
    <w:p>
      <w:pPr>
        <w:pStyle w:val="Heading3"/>
      </w:pPr>
      <w:r>
        <w:t xml:space="preserve">2.5.4 4. Comparative Modeling of Agronomic Outcomes</w:t>
      </w:r>
    </w:p>
    <w:p>
      <w:pPr>
        <w:pStyle w:val="FirstParagraph"/>
      </w:pPr>
      <w:r>
        <w:t xml:space="preserve">To test the core hypothesis, biological response variables were modeled using non-linear mixed-effects models (</w:t>
      </w:r>
      <w:r>
        <w:rPr>
          <w:rStyle w:val="VerbatimChar"/>
        </w:rPr>
        <w:t xml:space="preserve">nlme</w:t>
      </w:r>
      <w:r>
        <w:t xml:space="preserve">), recognizing that plant growth and nutrient uptake follow saturating, asymptotic biological curves rather than linear relationships.</w:t>
      </w:r>
    </w:p>
    <w:p>
      <w:pPr>
        <w:pStyle w:val="BodyText"/>
      </w:pPr>
      <w:r>
        <w:rPr>
          <w:b/>
          <w:bCs/>
        </w:rPr>
        <w:t xml:space="preserve">1. The Mitscherlich Yield Model</w:t>
      </w:r>
      <w:r>
        <w:t xml:space="preserve"> </w:t>
      </w:r>
      <w:r>
        <w:t xml:space="preserve">The agronomic yield response was modeled using the classical Mitscherlich equation. The explicit mathematical formulation replaces the static rate constant with a dynamic effective rate (</w:t>
      </w:r>
      <m:oMath>
        <m:sSub>
          <m:e>
            <m:r>
              <m:t>c</m:t>
            </m:r>
          </m:e>
          <m:sub>
            <m:r>
              <m:t>e</m:t>
            </m:r>
            <m:r>
              <m:t>f</m:t>
            </m:r>
            <m:r>
              <m:t>f</m:t>
            </m:r>
          </m:sub>
        </m:sSub>
      </m:oMath>
      <w:r>
        <w:t xml:space="preserve">):</w:t>
      </w:r>
    </w:p>
    <w:p>
      <w:pPr>
        <w:pStyle w:val="BodyText"/>
      </w:pPr>
      <m:oMathPara>
        <m:oMathParaPr>
          <m:jc m:val="center"/>
        </m:oMathParaPr>
        <m:oMath>
          <m:sSub>
            <m:e>
              <m:r>
                <m:t>Y</m:t>
              </m:r>
            </m:e>
            <m:sub>
              <m:r>
                <m:t>r</m:t>
              </m:r>
              <m:r>
                <m:t>e</m:t>
              </m:r>
              <m:r>
                <m:t>l</m:t>
              </m:r>
            </m:sub>
          </m:sSub>
          <m:r>
            <m:rPr>
              <m:sty m:val="p"/>
            </m:rPr>
            <m:t>=</m:t>
          </m:r>
          <m:r>
            <m:t>1</m:t>
          </m:r>
          <m:r>
            <m:rPr>
              <m:sty m:val="p"/>
            </m:rPr>
            <m:t>−</m:t>
          </m:r>
          <m:r>
            <m:rPr>
              <m:sty m:val="p"/>
            </m:rPr>
            <m:t>exp</m:t>
          </m:r>
          <m:d>
            <m:dPr>
              <m:begChr m:val="("/>
              <m:sepChr m:val=""/>
              <m:endChr m:val=")"/>
              <m:grow/>
            </m:dPr>
            <m:e>
              <m:r>
                <m:rPr>
                  <m:sty m:val="p"/>
                </m:rPr>
                <m:t>−</m:t>
              </m:r>
              <m:sSub>
                <m:e>
                  <m:r>
                    <m:t>c</m:t>
                  </m:r>
                </m:e>
                <m:sub>
                  <m:r>
                    <m:t>e</m:t>
                  </m:r>
                  <m:r>
                    <m:t>f</m:t>
                  </m:r>
                  <m:r>
                    <m:t>f</m:t>
                  </m:r>
                </m:sub>
              </m:sSub>
              <m:r>
                <m:rPr>
                  <m:sty m:val="p"/>
                </m:rPr>
                <m:t>⋅</m:t>
              </m:r>
              <m:r>
                <m:rPr>
                  <m:sty m:val="p"/>
                </m:rPr>
                <m:t>(</m:t>
              </m:r>
              <m:r>
                <m:rPr>
                  <m:nor/>
                  <m:sty m:val="p"/>
                </m:rPr>
                <m:t>STP</m:t>
              </m:r>
              <m:r>
                <m:rPr>
                  <m:sty m:val="p"/>
                </m:rPr>
                <m:t>+</m:t>
              </m:r>
              <m:sSub>
                <m:e>
                  <m:r>
                    <m:t>E</m:t>
                  </m:r>
                </m:e>
                <m:sub>
                  <m:r>
                    <m:t>b</m:t>
                  </m:r>
                  <m:r>
                    <m:t>a</m:t>
                  </m:r>
                  <m:r>
                    <m:t>s</m:t>
                  </m:r>
                  <m:r>
                    <m:t>e</m:t>
                  </m:r>
                </m:sub>
              </m:sSub>
              <m:r>
                <m:rPr>
                  <m:sty m:val="p"/>
                </m:rPr>
                <m:t>)</m:t>
              </m:r>
            </m:e>
          </m:d>
        </m:oMath>
      </m:oMathPara>
    </w:p>
    <w:p>
      <w:pPr>
        <w:pStyle w:val="FirstParagraph"/>
      </w:pPr>
      <w:r>
        <w:t xml:space="preserve">Where</w:t>
      </w:r>
      <w:r>
        <w:t xml:space="preserve"> </w:t>
      </w:r>
      <m:oMath>
        <m:sSub>
          <m:e>
            <m:r>
              <m:t>c</m:t>
            </m:r>
          </m:e>
          <m:sub>
            <m:r>
              <m:t>e</m:t>
            </m:r>
            <m:r>
              <m:t>f</m:t>
            </m:r>
            <m:r>
              <m:t>f</m:t>
            </m:r>
          </m:sub>
        </m:sSub>
      </m:oMath>
      <w:r>
        <w:t xml:space="preserve"> </w:t>
      </w:r>
      <w:r>
        <w:t xml:space="preserve">is dynamically modulated by a set of fixed pedoclimatic covariates (</w:t>
      </w:r>
      <m:oMath>
        <m:sSub>
          <m:e>
            <m:r>
              <m:t>Z</m:t>
            </m:r>
          </m:e>
          <m:sub>
            <m:r>
              <m:t>i</m:t>
            </m:r>
          </m:sub>
        </m:sSub>
      </m:oMath>
      <w:r>
        <w:t xml:space="preserve">) and nested spatial random effects (</w:t>
      </w:r>
      <m:oMath>
        <m:r>
          <m:t>u</m:t>
        </m:r>
      </m:oMath>
      <w:r>
        <w:t xml:space="preserve">):</w:t>
      </w:r>
    </w:p>
    <w:p>
      <w:pPr>
        <w:pStyle w:val="BodyText"/>
      </w:pPr>
      <m:oMathPara>
        <m:oMathParaPr>
          <m:jc m:val="center"/>
        </m:oMathParaPr>
        <m:oMath>
          <m:sSub>
            <m:e>
              <m:r>
                <m:t>c</m:t>
              </m:r>
            </m:e>
            <m:sub>
              <m:r>
                <m:t>e</m:t>
              </m:r>
              <m:r>
                <m:t>f</m:t>
              </m:r>
              <m:r>
                <m:t>f</m:t>
              </m:r>
            </m:sub>
          </m:sSub>
          <m:r>
            <m:rPr>
              <m:sty m:val="p"/>
            </m:rPr>
            <m:t>=</m:t>
          </m:r>
          <m:r>
            <m:rPr>
              <m:sty m:val="p"/>
            </m:rPr>
            <m:t>(</m:t>
          </m:r>
          <m:sSub>
            <m:e>
              <m:r>
                <m:t>c</m:t>
              </m:r>
            </m:e>
            <m:sub>
              <m:r>
                <m:t>b</m:t>
              </m:r>
              <m:r>
                <m:t>a</m:t>
              </m:r>
              <m:r>
                <m:t>s</m:t>
              </m:r>
              <m:r>
                <m:t>e</m:t>
              </m:r>
              <m:r>
                <m:rPr>
                  <m:sty m:val="p"/>
                </m:rPr>
                <m:t>_</m:t>
              </m:r>
              <m:r>
                <m:t>c</m:t>
              </m:r>
              <m:r>
                <m:t>r</m:t>
              </m:r>
              <m:r>
                <m:t>o</m:t>
              </m:r>
              <m:r>
                <m:t>p</m:t>
              </m:r>
            </m:sub>
          </m:sSub>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r>
            <m:rPr>
              <m:sty m:val="p"/>
            </m:rPr>
            <m:t>)</m:t>
          </m:r>
          <m:r>
            <m:rPr>
              <m:sty m:val="p"/>
            </m:rPr>
            <m:t>⋅</m:t>
          </m:r>
          <m:r>
            <m:rPr>
              <m:sty m:val="p"/>
            </m:rPr>
            <m:t>exp</m:t>
          </m:r>
          <m:d>
            <m:dPr>
              <m:begChr m:val="("/>
              <m:sepChr m:val=""/>
              <m:endChr m:val=")"/>
              <m:grow/>
            </m:dPr>
            <m:e>
              <m:r>
                <m:rPr>
                  <m:sty m:val="p"/>
                </m:rPr>
                <m:t>∑</m:t>
              </m:r>
              <m:sSub>
                <m:e>
                  <m:r>
                    <m:t>β</m:t>
                  </m:r>
                </m:e>
                <m:sub>
                  <m:r>
                    <m:t>i</m:t>
                  </m:r>
                </m:sub>
              </m:sSub>
              <m:r>
                <m:rPr>
                  <m:sty m:val="p"/>
                </m:rPr>
                <m:t>⋅</m:t>
              </m:r>
              <m:sSub>
                <m:e>
                  <m:r>
                    <m:t>Z</m:t>
                  </m:r>
                </m:e>
                <m:sub>
                  <m:r>
                    <m:t>i</m:t>
                  </m:r>
                </m:sub>
              </m:sSub>
            </m:e>
          </m:d>
        </m:oMath>
      </m:oMathPara>
    </w:p>
    <w:p>
      <w:pPr>
        <w:pStyle w:val="Compact"/>
        <w:numPr>
          <w:ilvl w:val="0"/>
          <w:numId w:val="1004"/>
        </w:numPr>
      </w:pPr>
      <w:r>
        <w:rPr>
          <w:b/>
          <w:bCs/>
        </w:rPr>
        <w:t xml:space="preserve">The Diffusion Bottleneck (</w:t>
      </w:r>
      <m:oMath>
        <m:sSub>
          <m:e>
            <m:r>
              <m:t>β</m:t>
            </m:r>
          </m:e>
          <m:sub>
            <m:r>
              <m:t>i</m:t>
            </m:r>
            <m:r>
              <m:t>n</m:t>
            </m:r>
            <m:r>
              <m:t>v</m:t>
            </m:r>
            <m:r>
              <m:t>b</m:t>
            </m:r>
          </m:sub>
        </m:sSub>
      </m:oMath>
      <w:r>
        <w:rPr>
          <w:b/>
          <w:bCs/>
        </w:rPr>
        <w:t xml:space="preserve">):</w:t>
      </w:r>
      <w:r>
        <w:t xml:space="preserve"> </w:t>
      </w:r>
      <w:r>
        <w:t xml:space="preserve">The inverse physical buffer power (</w:t>
      </w:r>
      <m:oMath>
        <m:r>
          <m:t>1</m:t>
        </m:r>
        <m:r>
          <m:rPr>
            <m:sty m:val="p"/>
          </m:rPr>
          <m:t>/</m:t>
        </m:r>
        <m:r>
          <m:t>b</m:t>
        </m:r>
      </m:oMath>
      <w:r>
        <w:t xml:space="preserve">) acts as the primary transport penalty. Soils with high buffer power cannot replenish the root depletion zone fast enough via diffusion, functionally decreasing the agronomic efficiency of the measured STP.</w:t>
      </w:r>
    </w:p>
    <w:p>
      <w:pPr>
        <w:pStyle w:val="Compact"/>
        <w:numPr>
          <w:ilvl w:val="0"/>
          <w:numId w:val="1004"/>
        </w:numPr>
      </w:pPr>
      <w:r>
        <w:rPr>
          <w:b/>
          <w:bCs/>
        </w:rPr>
        <w:t xml:space="preserve">Speciation and Solubility (</w:t>
      </w:r>
      <m:oMath>
        <m:sSub>
          <m:e>
            <m:r>
              <m:t>β</m:t>
            </m:r>
          </m:e>
          <m:sub>
            <m:r>
              <m:t>p</m:t>
            </m:r>
            <m:r>
              <m:t>H</m:t>
            </m:r>
          </m:sub>
        </m:sSub>
      </m:oMath>
      <w:r>
        <w:rPr>
          <w:b/>
          <w:bCs/>
        </w:rPr>
        <w:t xml:space="preserve">):</w:t>
      </w:r>
      <w:r>
        <w:t xml:space="preserve"> </w:t>
      </w:r>
      <w:r>
        <w:t xml:space="preserve">Soil pH fundamentally controls the speciation of orthophosphate in solution and drives precipitation dynamics, altering thermodynamic stability.</w:t>
      </w:r>
    </w:p>
    <w:p>
      <w:pPr>
        <w:pStyle w:val="Compact"/>
        <w:numPr>
          <w:ilvl w:val="0"/>
          <w:numId w:val="1004"/>
        </w:numPr>
      </w:pPr>
      <w:r>
        <w:rPr>
          <w:b/>
          <w:bCs/>
        </w:rPr>
        <w:t xml:space="preserve">Stoichiometric Co-Limitation (</w:t>
      </w:r>
      <m:oMath>
        <m:sSub>
          <m:e>
            <m:r>
              <m:t>β</m:t>
            </m:r>
          </m:e>
          <m:sub>
            <m:r>
              <m:t>N</m:t>
            </m:r>
          </m:sub>
        </m:sSub>
        <m:r>
          <m:rPr>
            <m:sty m:val="p"/>
          </m:rPr>
          <m:t>,</m:t>
        </m:r>
        <m:sSub>
          <m:e>
            <m:r>
              <m:t>β</m:t>
            </m:r>
          </m:e>
          <m:sub>
            <m:r>
              <m:t>K</m:t>
            </m:r>
          </m:sub>
        </m:sSub>
        <m:r>
          <m:rPr>
            <m:sty m:val="p"/>
          </m:rPr>
          <m:t>,</m:t>
        </m:r>
        <m:sSub>
          <m:e>
            <m:r>
              <m:t>β</m:t>
            </m:r>
          </m:e>
          <m:sub>
            <m:r>
              <m:t>M</m:t>
            </m:r>
            <m:r>
              <m:t>g</m:t>
            </m:r>
          </m:sub>
        </m:sSub>
      </m:oMath>
      <w:r>
        <w:rPr>
          <w:b/>
          <w:bCs/>
        </w:rPr>
        <w:t xml:space="preserve">):</w:t>
      </w:r>
      <w:r>
        <w:t xml:space="preserve"> </w:t>
      </w:r>
      <w:r>
        <w:t xml:space="preserve">Following Liebig’s Law of the Minimum, the plant’s ability to efficiently convert P into biomass is inherently capped if Nitrogen, Potassium, or Magnesium are limiting.</w:t>
      </w:r>
    </w:p>
    <w:p>
      <w:pPr>
        <w:pStyle w:val="Compact"/>
        <w:numPr>
          <w:ilvl w:val="0"/>
          <w:numId w:val="1004"/>
        </w:numPr>
      </w:pPr>
      <w:r>
        <w:rPr>
          <w:b/>
          <w:bCs/>
        </w:rPr>
        <w:t xml:space="preserve">Pedoclimatic Noise (</w:t>
      </w:r>
      <m:oMath>
        <m:sSub>
          <m:e>
            <m:r>
              <m:t>β</m:t>
            </m:r>
          </m:e>
          <m:sub>
            <m:r>
              <m:t>T</m:t>
            </m:r>
            <m:r>
              <m:t>e</m:t>
            </m:r>
            <m:r>
              <m:t>m</m:t>
            </m:r>
            <m:r>
              <m:t>p</m:t>
            </m:r>
          </m:sub>
        </m:sSub>
        <m:r>
          <m:rPr>
            <m:sty m:val="p"/>
          </m:rPr>
          <m:t>,</m:t>
        </m:r>
        <m:sSub>
          <m:e>
            <m:r>
              <m:t>β</m:t>
            </m:r>
          </m:e>
          <m:sub>
            <m:r>
              <m:t>P</m:t>
            </m:r>
            <m:r>
              <m:t>r</m:t>
            </m:r>
            <m:r>
              <m:t>e</m:t>
            </m:r>
            <m:r>
              <m:t>c</m:t>
            </m:r>
          </m:sub>
        </m:sSub>
      </m:oMath>
      <w:r>
        <w:rPr>
          <w:b/>
          <w:bCs/>
        </w:rPr>
        <w:t xml:space="preserve">):</w:t>
      </w:r>
      <w:r>
        <w:t xml:space="preserve"> </w:t>
      </w:r>
      <w:r>
        <w:t xml:space="preserve">Temperature and precipitation anomalies dictate physical soil moisture (governing diffusion transport) and the basic biological metabolic rate.</w:t>
      </w:r>
    </w:p>
    <w:p>
      <w:pPr>
        <w:pStyle w:val="FirstParagraph"/>
      </w:pPr>
      <w:r>
        <w:rPr>
          <w:b/>
          <w:bCs/>
        </w:rPr>
        <w:t xml:space="preserve">2. The Plant Uptake Model (Michaelis-Menten)</w:t>
      </w:r>
      <w:r>
        <w:t xml:space="preserve"> </w:t>
      </w:r>
      <w:r>
        <w:t xml:space="preserve">Actual mass-flux of P into the plant was modeled using a fractional Michaelis-Menten biological limit:</w:t>
      </w:r>
    </w:p>
    <w:p>
      <w:pPr>
        <w:pStyle w:val="BodyText"/>
      </w:pPr>
      <m:oMathPara>
        <m:oMathParaPr>
          <m:jc m:val="center"/>
        </m:oMathParaPr>
        <m:oMath>
          <m:r>
            <m:t>U</m:t>
          </m:r>
          <m:r>
            <m:t>p</m:t>
          </m:r>
          <m:r>
            <m:t>t</m:t>
          </m:r>
          <m:r>
            <m:t>a</m:t>
          </m:r>
          <m:r>
            <m:t>k</m:t>
          </m:r>
          <m:sSub>
            <m:e>
              <m:r>
                <m:t>e</m:t>
              </m:r>
            </m:e>
            <m:sub>
              <m:r>
                <m:t>r</m:t>
              </m:r>
              <m:r>
                <m:t>e</m:t>
              </m:r>
              <m:r>
                <m:t>l</m:t>
              </m:r>
            </m:sub>
          </m:sSub>
          <m:r>
            <m:rPr>
              <m:sty m:val="p"/>
            </m:rPr>
            <m:t>=</m:t>
          </m:r>
          <m:f>
            <m:fPr>
              <m:type m:val="bar"/>
            </m:fPr>
            <m:num>
              <m:sSub>
                <m:e>
                  <m:r>
                    <m:t>U</m:t>
                  </m:r>
                </m:e>
                <m:sub>
                  <m:r>
                    <m:t>e</m:t>
                  </m:r>
                  <m:r>
                    <m:t>f</m:t>
                  </m:r>
                  <m:r>
                    <m:t>f</m:t>
                  </m:r>
                </m:sub>
              </m:sSub>
              <m:r>
                <m:rPr>
                  <m:sty m:val="p"/>
                </m:rPr>
                <m:t>⋅</m:t>
              </m:r>
              <m:r>
                <m:rPr>
                  <m:nor/>
                  <m:sty m:val="p"/>
                </m:rPr>
                <m:t>STP</m:t>
              </m:r>
            </m:num>
            <m:den>
              <m:sSub>
                <m:e>
                  <m:r>
                    <m:t>K</m:t>
                  </m:r>
                </m:e>
                <m:sub>
                  <m:r>
                    <m:t>m</m:t>
                  </m:r>
                </m:sub>
              </m:sSub>
              <m:r>
                <m:rPr>
                  <m:sty m:val="p"/>
                </m:rPr>
                <m:t>+</m:t>
              </m:r>
              <m:r>
                <m:rPr>
                  <m:nor/>
                  <m:sty m:val="p"/>
                </m:rPr>
                <m:t>STP</m:t>
              </m:r>
            </m:den>
          </m:f>
        </m:oMath>
      </m:oMathPara>
    </w:p>
    <w:p>
      <w:pPr>
        <w:pStyle w:val="FirstParagraph"/>
      </w:pPr>
      <w:r>
        <w:t xml:space="preserve">Where the effective maximum uptake capacity (</w:t>
      </w:r>
      <m:oMath>
        <m:sSub>
          <m:e>
            <m:r>
              <m:t>U</m:t>
            </m:r>
          </m:e>
          <m:sub>
            <m:r>
              <m:t>e</m:t>
            </m:r>
            <m:r>
              <m:t>f</m:t>
            </m:r>
            <m:r>
              <m:t>f</m:t>
            </m:r>
          </m:sub>
        </m:sSub>
      </m:oMath>
      <w:r>
        <w:t xml:space="preserve">) expands upon the base physiological limit (</w:t>
      </w:r>
      <m:oMath>
        <m:sSub>
          <m:e>
            <m:r>
              <m:t>U</m:t>
            </m:r>
          </m:e>
          <m:sub>
            <m:r>
              <m:t>b</m:t>
            </m:r>
            <m:r>
              <m:t>a</m:t>
            </m:r>
            <m:r>
              <m:t>s</m:t>
            </m:r>
            <m:r>
              <m:t>e</m:t>
            </m:r>
          </m:sub>
        </m:sSub>
      </m:oMath>
      <w:r>
        <w:t xml:space="preserve">) via critical covariates:</w:t>
      </w:r>
    </w:p>
    <w:p>
      <w:pPr>
        <w:pStyle w:val="BodyText"/>
      </w:pPr>
      <m:oMathPara>
        <m:oMathParaPr>
          <m:jc m:val="center"/>
        </m:oMathParaPr>
        <m:oMath>
          <m:sSub>
            <m:e>
              <m:r>
                <m:t>U</m:t>
              </m:r>
            </m:e>
            <m:sub>
              <m:r>
                <m:t>e</m:t>
              </m:r>
              <m:r>
                <m:t>f</m:t>
              </m:r>
              <m:r>
                <m:t>f</m:t>
              </m:r>
            </m:sub>
          </m:sSub>
          <m:r>
            <m:rPr>
              <m:sty m:val="p"/>
            </m:rPr>
            <m:t>=</m:t>
          </m:r>
          <m:sSub>
            <m:e>
              <m:r>
                <m:t>U</m:t>
              </m:r>
            </m:e>
            <m:sub>
              <m:r>
                <m:t>b</m:t>
              </m:r>
              <m:r>
                <m:t>a</m:t>
              </m:r>
              <m:r>
                <m:t>s</m:t>
              </m:r>
              <m:r>
                <m:t>e</m:t>
              </m:r>
            </m:sub>
          </m:sSub>
          <m:r>
            <m:rPr>
              <m:sty m:val="p"/>
            </m:rPr>
            <m:t>+</m:t>
          </m:r>
          <m:sSub>
            <m:e>
              <m:r>
                <m:t>β</m:t>
              </m:r>
            </m:e>
            <m:sub>
              <m:r>
                <m:t>t</m:t>
              </m:r>
              <m:r>
                <m:t>e</m:t>
              </m:r>
              <m:r>
                <m:t>m</m:t>
              </m:r>
              <m:r>
                <m:t>p</m:t>
              </m:r>
            </m:sub>
          </m:sSub>
          <m:r>
            <m:rPr>
              <m:sty m:val="p"/>
            </m:rPr>
            <m:t>⋅</m:t>
          </m:r>
          <m:sSub>
            <m:e>
              <m:r>
                <m:t>Z</m:t>
              </m:r>
            </m:e>
            <m:sub>
              <m:r>
                <m:t>t</m:t>
              </m:r>
              <m:r>
                <m:t>e</m:t>
              </m:r>
              <m:r>
                <m:t>m</m:t>
              </m:r>
              <m:r>
                <m:t>p</m:t>
              </m:r>
            </m:sub>
          </m:sSub>
          <m:r>
            <m:rPr>
              <m:sty m:val="p"/>
            </m:rPr>
            <m:t>+</m:t>
          </m:r>
          <m:sSub>
            <m:e>
              <m:r>
                <m:t>β</m:t>
              </m:r>
            </m:e>
            <m:sub>
              <m:r>
                <m:t>N</m:t>
              </m:r>
            </m:sub>
          </m:sSub>
          <m:r>
            <m:rPr>
              <m:sty m:val="p"/>
            </m:rPr>
            <m:t>⋅</m:t>
          </m:r>
          <m:sSub>
            <m:e>
              <m:r>
                <m:t>Z</m:t>
              </m:r>
            </m:e>
            <m:sub>
              <m:r>
                <m:t>N</m:t>
              </m:r>
            </m:sub>
          </m:sSub>
          <m:r>
            <m:rPr>
              <m:sty m:val="p"/>
            </m:rPr>
            <m:t>+</m:t>
          </m:r>
          <m:sSub>
            <m:e>
              <m:r>
                <m:t>β</m:t>
              </m:r>
            </m:e>
            <m:sub>
              <m:r>
                <m:t>v</m:t>
              </m:r>
              <m:r>
                <m:t>0</m:t>
              </m:r>
            </m:sub>
          </m:sSub>
          <m:r>
            <m:rPr>
              <m:sty m:val="p"/>
            </m:rPr>
            <m:t>⋅</m:t>
          </m:r>
          <m:sSub>
            <m:e>
              <m:r>
                <m:t>Z</m:t>
              </m:r>
            </m:e>
            <m:sub>
              <m:r>
                <m:t>v</m:t>
              </m:r>
              <m:r>
                <m:t>0</m:t>
              </m:r>
            </m:sub>
          </m:sSub>
          <m:r>
            <m:rPr>
              <m:sty m:val="p"/>
            </m:rPr>
            <m:t>+</m:t>
          </m:r>
          <m:sSub>
            <m:e>
              <m:r>
                <m:t>u</m:t>
              </m:r>
            </m:e>
            <m:sub>
              <m:r>
                <m:t>s</m:t>
              </m:r>
              <m:r>
                <m:t>i</m:t>
              </m:r>
              <m:r>
                <m:t>t</m:t>
              </m:r>
              <m:r>
                <m:t>e</m:t>
              </m:r>
            </m:sub>
          </m:sSub>
          <m:r>
            <m:rPr>
              <m:sty m:val="p"/>
            </m:rPr>
            <m:t>+</m:t>
          </m:r>
          <m:sSub>
            <m:e>
              <m:r>
                <m:t>u</m:t>
              </m:r>
            </m:e>
            <m:sub>
              <m:r>
                <m:t>y</m:t>
              </m:r>
              <m:r>
                <m:t>e</m:t>
              </m:r>
              <m:r>
                <m:t>a</m:t>
              </m:r>
              <m:r>
                <m:t>r</m:t>
              </m:r>
              <m:r>
                <m:rPr>
                  <m:sty m:val="p"/>
                </m:rPr>
                <m:t>|</m:t>
              </m:r>
              <m:r>
                <m:t>s</m:t>
              </m:r>
              <m:r>
                <m:t>i</m:t>
              </m:r>
              <m:r>
                <m:t>t</m:t>
              </m:r>
              <m:r>
                <m:t>e</m:t>
              </m:r>
            </m:sub>
          </m:sSub>
        </m:oMath>
      </m:oMathPara>
    </w:p>
    <w:p>
      <w:pPr>
        <w:pStyle w:val="Compact"/>
        <w:numPr>
          <w:ilvl w:val="0"/>
          <w:numId w:val="1005"/>
        </w:numPr>
      </w:pPr>
      <w:r>
        <w:rPr>
          <w:b/>
          <w:bCs/>
        </w:rPr>
        <w:t xml:space="preserve">The Kinetics (</w:t>
      </w:r>
      <m:oMath>
        <m:sSub>
          <m:e>
            <m:r>
              <m:t>β</m:t>
            </m:r>
          </m:e>
          <m:sub>
            <m:r>
              <m:t>v</m:t>
            </m:r>
            <m:r>
              <m:t>0</m:t>
            </m:r>
          </m:sub>
        </m:sSub>
      </m:oMath>
      <w:r>
        <w:rPr>
          <w:b/>
          <w:bCs/>
        </w:rPr>
        <w:t xml:space="preserve">):</w:t>
      </w:r>
      <w:r>
        <w:t xml:space="preserve"> </w:t>
      </w:r>
      <w:r>
        <w:t xml:space="preserve">The dynamic desorption velocity (</w:t>
      </w:r>
      <m:oMath>
        <m:sSub>
          <m:e>
            <m:r>
              <m:t>v</m:t>
            </m:r>
          </m:e>
          <m:sub>
            <m:r>
              <m:t>0</m:t>
            </m:r>
          </m:sub>
        </m:sSub>
      </m:oMath>
      <w:r>
        <w:t xml:space="preserve">) directly increases maximal uptake capacity by continuously resupplying the root depletion zone.</w:t>
      </w:r>
    </w:p>
    <w:p>
      <w:pPr>
        <w:pStyle w:val="Compact"/>
        <w:numPr>
          <w:ilvl w:val="0"/>
          <w:numId w:val="1005"/>
        </w:numPr>
      </w:pPr>
      <w:r>
        <w:rPr>
          <w:b/>
          <w:bCs/>
        </w:rPr>
        <w:t xml:space="preserve">Crop-Specific Affinity (</w:t>
      </w:r>
      <m:oMath>
        <m:sSub>
          <m:e>
            <m:r>
              <m:t>K</m:t>
            </m:r>
          </m:e>
          <m:sub>
            <m:r>
              <m:t>m</m:t>
            </m:r>
          </m:sub>
        </m:sSub>
      </m:oMath>
      <w:r>
        <w:rPr>
          <w:b/>
          <w:bCs/>
        </w:rPr>
        <w:t xml:space="preserve">):</w:t>
      </w:r>
      <w:r>
        <w:t xml:space="preserve"> </w:t>
      </w:r>
      <w:r>
        <w:t xml:space="preserve">The half-saturation constant (</w:t>
      </w:r>
      <m:oMath>
        <m:sSub>
          <m:e>
            <m:r>
              <m:t>K</m:t>
            </m:r>
          </m:e>
          <m:sub>
            <m:r>
              <m:t>m</m:t>
            </m:r>
          </m:sub>
        </m:sSub>
      </m:oMath>
      <w:r>
        <w:t xml:space="preserve">) is modeled as a fixed effect grouped by</w:t>
      </w:r>
      <w:r>
        <w:t xml:space="preserve"> </w:t>
      </w:r>
      <w:r>
        <w:rPr>
          <w:i/>
          <w:iCs/>
        </w:rPr>
        <w:t xml:space="preserve">crop species</w:t>
      </w:r>
      <w:r>
        <w:t xml:space="preserve">, reflecting the differing physiological root architectures and transporter affinities of maize, wheat, etc.</w:t>
      </w:r>
    </w:p>
    <w:p>
      <w:pPr>
        <w:pStyle w:val="Compact"/>
        <w:numPr>
          <w:ilvl w:val="0"/>
          <w:numId w:val="1005"/>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w:t>
      </w:r>
      <w:r>
        <w:t xml:space="preserve"> </w:t>
      </w:r>
      <w:r>
        <w:rPr>
          <w:rStyle w:val="VerbatimChar"/>
        </w:rPr>
        <w:t xml:space="preserve">site/year</w:t>
      </w:r>
      <w:r>
        <w:t xml:space="preserve"> </w:t>
      </w:r>
      <w:r>
        <w:t xml:space="preserve">intercepts absorb the massive macro-climatic shifts (e.g., a regional drought year systemically lowering the overall</w:t>
      </w:r>
      <w:r>
        <w:t xml:space="preserve"> </w:t>
      </w:r>
      <m:oMath>
        <m:sSub>
          <m:e>
            <m:r>
              <m:t>U</m:t>
            </m:r>
          </m:e>
          <m:sub>
            <m:r>
              <m:t>b</m:t>
            </m:r>
            <m:r>
              <m:t>a</m:t>
            </m:r>
            <m:r>
              <m:t>s</m:t>
            </m:r>
            <m:r>
              <m:t>e</m:t>
            </m:r>
          </m:sub>
        </m:sSub>
      </m:oMath>
      <w:r>
        <w:t xml:space="preserve">).</w:t>
      </w:r>
    </w:p>
    <w:p>
      <w:pPr>
        <w:pStyle w:val="FirstParagraph"/>
      </w:pPr>
      <w:r>
        <w:rPr>
          <w:b/>
          <w:bCs/>
        </w:rPr>
        <w:t xml:space="preserve">3. The Tissue Concentration Model (</w:t>
      </w:r>
      <m:oMath>
        <m:sSub>
          <m:e>
            <m:r>
              <m:t>C</m:t>
            </m:r>
          </m:e>
          <m:sub>
            <m:r>
              <m:t>P</m:t>
            </m:r>
          </m:sub>
        </m:sSub>
      </m:oMath>
      <w:r>
        <w:rPr>
          <w:b/>
          <w:bCs/>
        </w:rPr>
        <w:t xml:space="preserve">)</w:t>
      </w:r>
      <w:r>
        <w:t xml:space="preserve"> </w:t>
      </w:r>
      <w:r>
        <w:t xml:space="preserve">To expose the physiological dynamics of tissue concentrations, the apparent</w:t>
      </w:r>
      <w:r>
        <w:t xml:space="preserve"> </w:t>
      </w:r>
      <m:oMath>
        <m:sSub>
          <m:e>
            <m:r>
              <m:t>C</m:t>
            </m:r>
          </m:e>
          <m:sub>
            <m:r>
              <m:t>P</m:t>
            </m:r>
          </m:sub>
        </m:sSub>
      </m:oMath>
      <w:r>
        <w:t xml:space="preserve"> </w:t>
      </w:r>
      <w:r>
        <w:t xml:space="preserve">was modeled phenomenologically. Rigorous mixed-effects testing revealed that the classical Piper-Steenbjerg carbon dilution penalty was statistically undetectable across pedoclimatic noise. Instead, the phenomena clearly dictate a simpler biological reality: A crop-specific baseline tissue concentration (</w:t>
      </w:r>
      <m:oMath>
        <m:sSub>
          <m:e>
            <m:r>
              <m:t>C</m:t>
            </m:r>
          </m:e>
          <m:sub>
            <m:r>
              <m:t>b</m:t>
            </m:r>
            <m:r>
              <m:t>a</m:t>
            </m:r>
            <m:r>
              <m:t>s</m:t>
            </m:r>
            <m:r>
              <m:t>e</m:t>
            </m:r>
          </m:sub>
        </m:sSub>
      </m:oMath>
      <w:r>
        <w:t xml:space="preserve">), followed by a linear</w:t>
      </w:r>
      <w:r>
        <w:t xml:space="preserve"> </w:t>
      </w:r>
      <w:r>
        <w:rPr>
          <w:b/>
          <w:bCs/>
        </w:rPr>
        <w:t xml:space="preserve">Luxury Accumulation</w:t>
      </w:r>
      <w:r>
        <w:t xml:space="preserve"> </w:t>
      </w:r>
      <w:r>
        <w:t xml:space="preserve">phase (</w:t>
      </w:r>
      <m:oMath>
        <m:sSub>
          <m:e>
            <m:r>
              <m:t>S</m:t>
            </m:r>
          </m:e>
          <m:sub>
            <m:r>
              <m:t>a</m:t>
            </m:r>
            <m:r>
              <m:t>c</m:t>
            </m:r>
            <m:r>
              <m:t>c</m:t>
            </m:r>
          </m:sub>
        </m:sSub>
      </m:oMath>
      <w:r>
        <w:t xml:space="preserve">):</w:t>
      </w:r>
    </w:p>
    <w:p>
      <w:pPr>
        <w:pStyle w:val="BodyText"/>
      </w:pPr>
      <m:oMathPara>
        <m:oMathParaPr>
          <m:jc m:val="center"/>
        </m:oMathParaPr>
        <m:oMath>
          <m:sSub>
            <m:e>
              <m:r>
                <m:t>C</m:t>
              </m:r>
            </m:e>
            <m:sub>
              <m:r>
                <m:t>P</m:t>
              </m:r>
            </m:sub>
          </m:sSub>
          <m:r>
            <m:rPr>
              <m:sty m:val="p"/>
            </m:rPr>
            <m:t>=</m:t>
          </m:r>
          <m:sSub>
            <m:e>
              <m:r>
                <m:t>C</m:t>
              </m:r>
            </m:e>
            <m:sub>
              <m:r>
                <m:t>b</m:t>
              </m:r>
              <m:r>
                <m:t>a</m:t>
              </m:r>
              <m:r>
                <m:t>s</m:t>
              </m:r>
              <m:r>
                <m:t>e</m:t>
              </m:r>
            </m:sub>
          </m:sSub>
          <m:r>
            <m:rPr>
              <m:sty m:val="p"/>
            </m:rPr>
            <m:t>+</m:t>
          </m:r>
          <m:sSub>
            <m:e>
              <m:r>
                <m:t>S</m:t>
              </m:r>
            </m:e>
            <m:sub>
              <m:r>
                <m:t>a</m:t>
              </m:r>
              <m:r>
                <m:t>c</m:t>
              </m:r>
              <m:r>
                <m:t>c</m:t>
              </m:r>
            </m:sub>
          </m:sSub>
          <m:r>
            <m:rPr>
              <m:sty m:val="p"/>
            </m:rPr>
            <m:t>⋅</m:t>
          </m:r>
          <m:r>
            <m:rPr>
              <m:nor/>
              <m:sty m:val="p"/>
            </m:rPr>
            <m:t>STP</m:t>
          </m:r>
        </m:oMath>
      </m:oMathPara>
    </w:p>
    <w:p>
      <w:pPr>
        <w:pStyle w:val="Compact"/>
        <w:numPr>
          <w:ilvl w:val="0"/>
          <w:numId w:val="1006"/>
        </w:numPr>
      </w:pPr>
      <w:r>
        <w:rPr>
          <w:b/>
          <w:bCs/>
        </w:rPr>
        <w:t xml:space="preserve">Crop-Specific Baseline (</w:t>
      </w:r>
      <m:oMath>
        <m:sSub>
          <m:e>
            <m:r>
              <m:t>C</m:t>
            </m:r>
          </m:e>
          <m:sub>
            <m:r>
              <m:t>b</m:t>
            </m:r>
            <m:r>
              <m:t>a</m:t>
            </m:r>
            <m:r>
              <m:t>s</m:t>
            </m:r>
            <m:r>
              <m:t>e</m:t>
            </m:r>
          </m:sub>
        </m:sSub>
      </m:oMath>
      <w:r>
        <w:rPr>
          <w:b/>
          <w:bCs/>
        </w:rPr>
        <w:t xml:space="preserve">):</w:t>
      </w:r>
      <w:r>
        <w:t xml:space="preserve"> </w:t>
      </w:r>
      <w:r>
        <w:t xml:space="preserve">The fundamental, minimum tissue concentration required for the plant to physically exist, modeled as a fixed effect grouped by crop species.</w:t>
      </w:r>
    </w:p>
    <w:p>
      <w:pPr>
        <w:pStyle w:val="Compact"/>
        <w:numPr>
          <w:ilvl w:val="0"/>
          <w:numId w:val="1006"/>
        </w:numPr>
      </w:pPr>
      <w:r>
        <w:rPr>
          <w:b/>
          <w:bCs/>
        </w:rPr>
        <w:t xml:space="preserve">Luxury Accumulation (</w:t>
      </w:r>
      <m:oMath>
        <m:sSub>
          <m:e>
            <m:r>
              <m:t>S</m:t>
            </m:r>
          </m:e>
          <m:sub>
            <m:r>
              <m:t>a</m:t>
            </m:r>
            <m:r>
              <m:t>c</m:t>
            </m:r>
            <m:r>
              <m:t>c</m:t>
            </m:r>
          </m:sub>
        </m:sSub>
      </m:oMath>
      <w:r>
        <w:rPr>
          <w:b/>
          <w:bCs/>
        </w:rPr>
        <w:t xml:space="preserve">):</w:t>
      </w:r>
      <w:r>
        <w:t xml:space="preserve"> </w:t>
      </w:r>
      <w:r>
        <w:t xml:space="preserve">Once basic metabolic needs are met, plants linearly accumulate</w:t>
      </w:r>
      <w:r>
        <w:t xml:space="preserve"> </w:t>
      </w:r>
      <w:r>
        <w:t xml:space="preserve">“luxury”</w:t>
      </w:r>
      <w:r>
        <w:t xml:space="preserve"> </w:t>
      </w:r>
      <w:r>
        <w:t xml:space="preserve">P in their tissues (primarily in the vegetative biomass). This slope (</w:t>
      </w:r>
      <m:oMath>
        <m:sSub>
          <m:e>
            <m:r>
              <m:t>S</m:t>
            </m:r>
          </m:e>
          <m:sub>
            <m:r>
              <m:t>a</m:t>
            </m:r>
            <m:r>
              <m:t>c</m:t>
            </m:r>
            <m:r>
              <m:t>c</m:t>
            </m:r>
          </m:sub>
        </m:sSub>
      </m:oMath>
      <w:r>
        <w:t xml:space="preserve">) is significantly driven by the soil’s desorption velocity (</w:t>
      </w:r>
      <m:oMath>
        <m:sSub>
          <m:e>
            <m:r>
              <m:t>v</m:t>
            </m:r>
          </m:e>
          <m:sub>
            <m:r>
              <m:t>0</m:t>
            </m:r>
          </m:sub>
        </m:sSub>
      </m:oMath>
      <w:r>
        <w:t xml:space="preserve">) and buffer power (</w:t>
      </w:r>
      <m:oMath>
        <m:r>
          <m:t>1</m:t>
        </m:r>
        <m:r>
          <m:rPr>
            <m:sty m:val="p"/>
          </m:rPr>
          <m:t>/</m:t>
        </m:r>
        <m:r>
          <m:t>b</m:t>
        </m:r>
      </m:oMath>
      <w:r>
        <w:t xml:space="preserve">), which dictate how rapidly the soil can push excess phosphorus into the plant.</w:t>
      </w:r>
    </w:p>
    <w:p>
      <w:pPr>
        <w:pStyle w:val="Compact"/>
        <w:numPr>
          <w:ilvl w:val="0"/>
          <w:numId w:val="1006"/>
        </w:numPr>
      </w:pPr>
      <w:r>
        <w:rPr>
          <w:b/>
          <w:bCs/>
        </w:rPr>
        <w:t xml:space="preserve">A Phenomenological</w:t>
      </w:r>
      <w:r>
        <w:rPr>
          <w:b/>
          <w:bCs/>
        </w:rPr>
        <w:t xml:space="preserve"> </w:t>
      </w:r>
      <m:oMath>
        <m:sSub>
          <m:e>
            <m:r>
              <m:t>P</m:t>
            </m:r>
          </m:e>
          <m:sub>
            <m:r>
              <m:t>c</m:t>
            </m:r>
            <m:r>
              <m:t>r</m:t>
            </m:r>
            <m:r>
              <m:t>i</m:t>
            </m:r>
            <m:r>
              <m:t>t</m:t>
            </m:r>
          </m:sub>
        </m:sSub>
      </m:oMath>
      <w:r>
        <w:rPr>
          <w:b/>
          <w:bCs/>
        </w:rPr>
        <w:t xml:space="preserve">:</w:t>
      </w:r>
      <w:r>
        <w:t xml:space="preserve"> </w:t>
      </w:r>
      <w:r>
        <w:t xml:space="preserve">Because field data rarely captures conditions severe enough to observe true Piper-Steenbjerg dilution, defining</w:t>
      </w:r>
      <w:r>
        <w:t xml:space="preserve"> </w:t>
      </w:r>
      <m:oMath>
        <m:sSub>
          <m:e>
            <m:r>
              <m:t>P</m:t>
            </m:r>
          </m:e>
          <m:sub>
            <m:r>
              <m:t>c</m:t>
            </m:r>
            <m:r>
              <m:t>r</m:t>
            </m:r>
            <m:r>
              <m:t>i</m:t>
            </m:r>
            <m:r>
              <m:t>t</m:t>
            </m:r>
          </m:sub>
        </m:sSub>
      </m:oMath>
      <w:r>
        <w:t xml:space="preserve"> </w:t>
      </w:r>
      <w:r>
        <w:t xml:space="preserve">via abstract mathematical minima of</w:t>
      </w:r>
      <w:r>
        <w:t xml:space="preserve"> </w:t>
      </w:r>
      <m:oMath>
        <m:sSub>
          <m:e>
            <m:r>
              <m:t>C</m:t>
            </m:r>
          </m:e>
          <m:sub>
            <m:r>
              <m:t>P</m:t>
            </m:r>
          </m:sub>
        </m:sSub>
      </m:oMath>
      <w:r>
        <w:t xml:space="preserve"> </w:t>
      </w:r>
      <w:r>
        <w:t xml:space="preserve">curves is flawed. Instead, we define</w:t>
      </w:r>
      <w:r>
        <w:t xml:space="preserve"> </w:t>
      </w:r>
      <m:oMath>
        <m:sSub>
          <m:e>
            <m:r>
              <m:t>P</m:t>
            </m:r>
          </m:e>
          <m:sub>
            <m:r>
              <m:t>c</m:t>
            </m:r>
            <m:r>
              <m:t>r</m:t>
            </m:r>
            <m:r>
              <m:t>i</m:t>
            </m:r>
            <m:r>
              <m:t>t</m:t>
            </m:r>
          </m:sub>
        </m:sSub>
      </m:oMath>
      <w:r>
        <w:t xml:space="preserve"> </w:t>
      </w:r>
      <w:r>
        <w:t xml:space="preserve">phenomenologically: as the threshold where the plant has achieved its physiological baseline (</w:t>
      </w:r>
      <m:oMath>
        <m:sSub>
          <m:e>
            <m:r>
              <m:t>C</m:t>
            </m:r>
          </m:e>
          <m:sub>
            <m:r>
              <m:t>b</m:t>
            </m:r>
            <m:r>
              <m:t>a</m:t>
            </m:r>
            <m:r>
              <m:t>s</m:t>
            </m:r>
            <m:r>
              <m:t>e</m:t>
            </m:r>
          </m:sub>
        </m:sSub>
      </m:oMath>
      <w:r>
        <w:t xml:space="preserve">)</w:t>
      </w:r>
      <w:r>
        <w:t xml:space="preserve"> </w:t>
      </w:r>
      <w:r>
        <w:rPr>
          <w:i/>
          <w:iCs/>
        </w:rPr>
        <w:t xml:space="preserve">plus</w:t>
      </w:r>
      <w:r>
        <w:t xml:space="preserve"> </w:t>
      </w:r>
      <w:r>
        <w:t xml:space="preserve">a defined luxury reserve buffer (e.g.,</w:t>
      </w:r>
      <w:r>
        <w:t xml:space="preserve"> </w:t>
      </w:r>
      <m:oMath>
        <m:r>
          <m:t>x</m:t>
        </m:r>
        <m:r>
          <m:rPr>
            <m:sty m:val="p"/>
          </m:rPr>
          <m:t>%</m:t>
        </m:r>
      </m:oMath>
      <w:r>
        <w:t xml:space="preserve">) strictly necessary to survive difficult environmental phases like pH swings or transient droughts.</w:t>
      </w:r>
    </w:p>
    <w:tbl>
      <w:tblPr>
        <w:tblStyle w:val="Table"/>
        <w:tblW w:type="pct" w:w="5000"/>
        <w:tblLayout w:type="fixed"/>
        <w:tblLook w:firstRow="0" w:lastRow="0" w:firstColumn="0" w:lastColumn="0" w:noHBand="0" w:noVBand="0" w:val="0000"/>
      </w:tblPr>
      <w:tblGrid>
        <w:gridCol w:w="7920"/>
      </w:tblGrid>
      <w:tr>
        <w:tc>
          <w:tcPr/>
          <w:bookmarkStart w:id="33" w:name="tbl-variables-updated"/>
          <w:p>
            <w:pPr>
              <w:jc w:val="center"/>
            </w:pPr>
            <w:pPr>
              <w:jc w:val="left"/>
              <w:spacing w:before="200"/>
              <w:pStyle w:val="ImageCaption"/>
            </w:pPr>
            <w:r>
              <w:t xml:space="preserve">Table 3: Comprehensive description of all response variables and covariates used in the thermodynamic and agronomic models, including their explicit preprocessing pipelines.</w:t>
            </w:r>
          </w:p>
          <w:tbl>
            <w:tblPr>
              <w:tblStyle w:val="Table"/>
              <w:tblW w:type="pct" w:w="5000"/>
              <w:tblLayout w:type="fixed"/>
              <w:tblLook w:firstRow="1" w:lastRow="0" w:firstColumn="0" w:lastColumn="0" w:noHBand="0" w:noVBand="0" w:val="0020"/>
            </w:tblPr>
            <w:tblGrid>
              <w:gridCol w:w="921"/>
              <w:gridCol w:w="819"/>
              <w:gridCol w:w="1843"/>
              <w:gridCol w:w="4335"/>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Description</w:t>
                  </w:r>
                </w:p>
              </w:tc>
              <w:tc>
                <w:tcPr/>
                <w:p>
                  <w:pPr>
                    <w:pStyle w:val="Compact"/>
                    <w:jc w:val="left"/>
                    <w:jc w:val="center"/>
                  </w:pPr>
                  <w:r>
                    <w:t xml:space="preserve">Processing and Filtering</w:t>
                  </w:r>
                </w:p>
              </w:tc>
            </w:tr>
            <w:tr>
              <w:tc>
                <w:tcPr/>
                <w:p>
                  <w:pPr>
                    <w:pStyle w:val="Compact"/>
                    <w:jc w:val="left"/>
                    <w:jc w:val="center"/>
                  </w:pPr>
                  <m:oMath>
                    <m:sSub>
                      <m:e>
                        <m:r>
                          <m:t>Y</m:t>
                        </m:r>
                      </m:e>
                      <m:sub>
                        <m:r>
                          <m:t>r</m:t>
                        </m:r>
                        <m:r>
                          <m:t>e</m:t>
                        </m:r>
                        <m:r>
                          <m:t>l</m:t>
                        </m:r>
                      </m:sub>
                    </m:sSub>
                  </m:oMath>
                  <w:r>
                    <w:t xml:space="preserve">​</w:t>
                  </w:r>
                </w:p>
              </w:tc>
              <w:tc>
                <w:tcPr/>
                <w:p>
                  <w:pPr>
                    <w:pStyle w:val="Compact"/>
                    <w:jc w:val="left"/>
                    <w:jc w:val="center"/>
                  </w:pPr>
                  <w:r>
                    <w:t xml:space="preserve">Relative Yield</w:t>
                  </w:r>
                </w:p>
              </w:tc>
              <w:tc>
                <w:tcPr/>
                <w:p>
                  <w:pPr>
                    <w:pStyle w:val="Compact"/>
                    <w:jc w:val="left"/>
                    <w:jc w:val="center"/>
                  </w:pPr>
                  <w:r>
                    <w:t xml:space="preserve">Plot yield normalized by the local year’s maximum.</w:t>
                  </w:r>
                </w:p>
              </w:tc>
              <w:tc>
                <w:tcPr/>
                <w:p>
                  <w:pPr>
                    <w:pStyle w:val="Compact"/>
                    <w:jc w:val="left"/>
                    <w:jc w:val="center"/>
                  </w:pPr>
                  <w:r>
                    <w:t xml:space="preserve">Normalized by the mean of the P166 treatment within the specific site</w:t>
                  </w:r>
                  <w:r>
                    <w:t xml:space="preserve"> </w:t>
                  </w:r>
                  <m:oMath>
                    <m:r>
                      <m:rPr>
                        <m:sty m:val="p"/>
                      </m:rPr>
                      <m:t>×</m:t>
                    </m:r>
                  </m:oMath>
                  <w:r>
                    <w:t xml:space="preserve"> </w:t>
                  </w:r>
                  <w:r>
                    <w:t xml:space="preserve">crop</w:t>
                  </w:r>
                  <w:r>
                    <w:t xml:space="preserve"> </w:t>
                  </w:r>
                  <m:oMath>
                    <m:r>
                      <m:rPr>
                        <m:sty m:val="p"/>
                      </m:rPr>
                      <m:t>×</m:t>
                    </m:r>
                  </m:oMath>
                  <w:r>
                    <w:t xml:space="preserve"> </w:t>
                  </w:r>
                  <w:r>
                    <w:t xml:space="preserve">year. Filtered for finite values.</w:t>
                  </w:r>
                </w:p>
              </w:tc>
            </w:tr>
            <w:tr>
              <w:tc>
                <w:tcPr/>
                <w:p>
                  <w:pPr>
                    <w:pStyle w:val="Compact"/>
                    <w:jc w:val="left"/>
                    <w:jc w:val="center"/>
                  </w:pPr>
                  <m:oMath>
                    <m:r>
                      <m:t>U</m:t>
                    </m:r>
                    <m:r>
                      <m:t>p</m:t>
                    </m:r>
                    <m:r>
                      <m:t>t</m:t>
                    </m:r>
                    <m:r>
                      <m:t>a</m:t>
                    </m:r>
                    <m:r>
                      <m:t>k</m:t>
                    </m:r>
                    <m:sSub>
                      <m:e>
                        <m:r>
                          <m:t>e</m:t>
                        </m:r>
                      </m:e>
                      <m:sub>
                        <m:r>
                          <m:t>r</m:t>
                        </m:r>
                        <m:r>
                          <m:t>e</m:t>
                        </m:r>
                        <m:r>
                          <m:t>l</m:t>
                        </m:r>
                      </m:sub>
                    </m:sSub>
                  </m:oMath>
                  <w:r>
                    <w:t xml:space="preserve">​</w:t>
                  </w:r>
                </w:p>
              </w:tc>
              <w:tc>
                <w:tcPr/>
                <w:p>
                  <w:pPr>
                    <w:pStyle w:val="Compact"/>
                    <w:jc w:val="left"/>
                    <w:jc w:val="center"/>
                  </w:pPr>
                  <w:r>
                    <w:t xml:space="preserve">Relative P Uptake</w:t>
                  </w:r>
                </w:p>
              </w:tc>
              <w:tc>
                <w:tcPr/>
                <w:p>
                  <w:pPr>
                    <w:pStyle w:val="Compact"/>
                    <w:jc w:val="left"/>
                    <w:jc w:val="center"/>
                  </w:pPr>
                  <w:r>
                    <w:t xml:space="preserve">Plot P-uptake normalized by the local year’s maximum.</w:t>
                  </w:r>
                </w:p>
              </w:tc>
              <w:tc>
                <w:tcPr/>
                <w:p>
                  <w:pPr>
                    <w:pStyle w:val="Compact"/>
                    <w:jc w:val="left"/>
                    <w:jc w:val="center"/>
                  </w:pPr>
                  <w:r>
                    <w:t xml:space="preserve">Normalized by the local P166 maximum. Rows with 0 uptake dropped.</w:t>
                  </w:r>
                </w:p>
              </w:tc>
            </w:tr>
            <w:tr>
              <w:tc>
                <w:tcPr/>
                <w:p>
                  <w:pPr>
                    <w:pStyle w:val="Compact"/>
                    <w:jc w:val="left"/>
                    <w:jc w:val="center"/>
                  </w:pPr>
                  <m:oMath>
                    <m:r>
                      <m:rPr>
                        <m:sty m:val="p"/>
                      </m:rPr>
                      <m:t>ln</m:t>
                    </m:r>
                    <m:r>
                      <m:rPr>
                        <m:sty m:val="p"/>
                      </m:rPr>
                      <m:t>(</m:t>
                    </m:r>
                    <m:sSub>
                      <m:e>
                        <m:r>
                          <m:t>P</m:t>
                        </m:r>
                      </m:e>
                      <m:sub>
                        <m:r>
                          <m:t>A</m:t>
                        </m:r>
                        <m:r>
                          <m:t>A</m:t>
                        </m:r>
                        <m:r>
                          <m:t>E</m:t>
                        </m:r>
                        <m:r>
                          <m:t>10</m:t>
                        </m:r>
                      </m:sub>
                    </m:sSub>
                    <m:r>
                      <m:rPr>
                        <m:sty m:val="p"/>
                      </m:rPr>
                      <m:t>)</m:t>
                    </m:r>
                  </m:oMath>
                  <w:r>
                    <w:t xml:space="preserve">​</w:t>
                  </w:r>
                </w:p>
              </w:tc>
              <w:tc>
                <w:tcPr/>
                <w:p>
                  <w:pPr>
                    <w:pStyle w:val="Compact"/>
                    <w:jc w:val="left"/>
                    <w:jc w:val="center"/>
                  </w:pPr>
                  <w:r>
                    <w:t xml:space="preserve">Log Quantity Pool</w:t>
                  </w:r>
                </w:p>
              </w:tc>
              <w:tc>
                <w:tcPr/>
                <w:p>
                  <w:pPr>
                    <w:pStyle w:val="Compact"/>
                    <w:jc w:val="left"/>
                    <w:jc w:val="center"/>
                  </w:pPr>
                  <w:r>
                    <w:t xml:space="preserve">Standard mass of extractable P (AAE10 method).</w:t>
                  </w:r>
                </w:p>
              </w:tc>
              <w:tc>
                <w:tcPr/>
                <w:p>
                  <w:pPr>
                    <w:pStyle w:val="Compact"/>
                    <w:jc w:val="left"/>
                    <w:jc w:val="center"/>
                  </w:pPr>
                  <w:r>
                    <w:t xml:space="preserve">Natural log transformed to ensure strictly positive predictions and stabilize variance in mixed models.</w:t>
                  </w:r>
                </w:p>
              </w:tc>
            </w:tr>
            <w:tr>
              <w:tc>
                <w:tcPr/>
                <w:p>
                  <w:pPr>
                    <w:pStyle w:val="Compact"/>
                    <w:jc w:val="left"/>
                    <w:jc w:val="center"/>
                  </w:pPr>
                  <m:oMath>
                    <m:sSub>
                      <m:e>
                        <m:r>
                          <m:t>P</m:t>
                        </m:r>
                      </m:e>
                      <m:sub>
                        <m:r>
                          <m:t>C</m:t>
                        </m:r>
                        <m:r>
                          <m:t>O</m:t>
                        </m:r>
                        <m:r>
                          <m:t>2</m:t>
                        </m:r>
                      </m:sub>
                    </m:sSub>
                  </m:oMath>
                  <w:r>
                    <w:t xml:space="preserve">​</w:t>
                  </w:r>
                </w:p>
              </w:tc>
              <w:tc>
                <w:tcPr/>
                <w:p>
                  <w:pPr>
                    <w:pStyle w:val="Compact"/>
                    <w:jc w:val="left"/>
                    <w:jc w:val="center"/>
                  </w:pPr>
                  <w:r>
                    <w:t xml:space="preserve">Empirical Intensity</w:t>
                  </w:r>
                </w:p>
              </w:tc>
              <w:tc>
                <w:tcPr/>
                <w:p>
                  <w:pPr>
                    <w:pStyle w:val="Compact"/>
                    <w:jc w:val="left"/>
                    <w:jc w:val="center"/>
                  </w:pPr>
                  <w:r>
                    <w:t xml:space="preserve">Water-extractable P (</w:t>
                  </w:r>
                  <m:oMath>
                    <m:r>
                      <m:t>C</m:t>
                    </m:r>
                    <m:sSub>
                      <m:e>
                        <m:r>
                          <m:t>O</m:t>
                        </m:r>
                      </m:e>
                      <m:sub>
                        <m:r>
                          <m:t>2</m:t>
                        </m:r>
                      </m:sub>
                    </m:sSub>
                  </m:oMath>
                  <w:r>
                    <w:t xml:space="preserve"> </w:t>
                  </w:r>
                  <w:r>
                    <w:t xml:space="preserve">saturated).</w:t>
                  </w:r>
                </w:p>
              </w:tc>
              <w:tc>
                <w:tcPr/>
                <w:p>
                  <w:pPr>
                    <w:pStyle w:val="Compact"/>
                    <w:jc w:val="left"/>
                    <w:jc w:val="center"/>
                  </w:pPr>
                  <w:r>
                    <w:t xml:space="preserve">Raw measured values. Log-transformed for PTF training.</w:t>
                  </w:r>
                </w:p>
              </w:tc>
            </w:tr>
            <w:tr>
              <w:tc>
                <w:tcPr/>
                <w:p>
                  <w:pPr>
                    <w:pStyle w:val="Compact"/>
                    <w:jc w:val="left"/>
                    <w:jc w:val="center"/>
                  </w:pPr>
                  <m:oMath>
                    <m:sSub>
                      <m:e>
                        <m:r>
                          <m:t>a</m:t>
                        </m:r>
                      </m:e>
                      <m:sub>
                        <m:r>
                          <m:t>C</m:t>
                        </m:r>
                        <m:r>
                          <m:t>O</m:t>
                        </m:r>
                        <m:r>
                          <m:t>2</m:t>
                        </m:r>
                      </m:sub>
                    </m:sSub>
                  </m:oMath>
                  <w:r>
                    <w:t xml:space="preserve">​</w:t>
                  </w:r>
                </w:p>
              </w:tc>
              <w:tc>
                <w:tcPr/>
                <w:p>
                  <w:pPr>
                    <w:pStyle w:val="Compact"/>
                    <w:jc w:val="left"/>
                    <w:jc w:val="center"/>
                  </w:pPr>
                  <w:r>
                    <w:t xml:space="preserve">Thermodynamic Intensity</w:t>
                  </w:r>
                </w:p>
              </w:tc>
              <w:tc>
                <w:tcPr/>
                <w:p>
                  <w:pPr>
                    <w:pStyle w:val="Compact"/>
                    <w:jc w:val="left"/>
                    <w:jc w:val="center"/>
                  </w:pPr>
                  <w:r>
                    <w:t xml:space="preserve">Thermodynamic activity of the water pool.</w:t>
                  </w:r>
                </w:p>
              </w:tc>
              <w:tc>
                <w:tcPr/>
                <w:p>
                  <w:pPr>
                    <w:pStyle w:val="Compact"/>
                    <w:jc w:val="left"/>
                    <w:jc w:val="center"/>
                  </w:pPr>
                  <w:r>
                    <w:t xml:space="preserve">Calculated via Davies equation accounting for ionic strength. Log-transformed.</w:t>
                  </w:r>
                </w:p>
              </w:tc>
            </w:tr>
            <w:tr>
              <w:tc>
                <w:tcPr/>
                <w:p>
                  <w:pPr>
                    <w:pStyle w:val="Compact"/>
                    <w:jc w:val="left"/>
                    <w:jc w:val="center"/>
                  </w:pPr>
                  <m:oMath>
                    <m:r>
                      <m:t>k</m:t>
                    </m:r>
                  </m:oMath>
                  <w:r>
                    <w:t xml:space="preserve">​</w:t>
                  </w:r>
                </w:p>
              </w:tc>
              <w:tc>
                <w:tcPr/>
                <w:p>
                  <w:pPr>
                    <w:pStyle w:val="Compact"/>
                    <w:jc w:val="left"/>
                    <w:jc w:val="center"/>
                  </w:pPr>
                  <w:r>
                    <w:t xml:space="preserve">Desorption Rate</w:t>
                  </w:r>
                </w:p>
              </w:tc>
              <w:tc>
                <w:tcPr/>
                <w:p>
                  <w:pPr>
                    <w:pStyle w:val="Compact"/>
                    <w:jc w:val="left"/>
                    <w:jc w:val="center"/>
                  </w:pPr>
                  <w:r>
                    <w:t xml:space="preserve">First-order rate constant of P desorption.</w:t>
                  </w:r>
                </w:p>
              </w:tc>
              <w:tc>
                <w:tcPr/>
                <w:p>
                  <w:pPr>
                    <w:pStyle w:val="Compact"/>
                    <w:jc w:val="left"/>
                    <w:jc w:val="center"/>
                  </w:pPr>
                  <w:r>
                    <w:t xml:space="preserve">Missing historical plots were imputed using a pedogenetic PTF trained on log(Al/Fe) + pH. Standardized (z-score).</w:t>
                  </w:r>
                </w:p>
              </w:tc>
            </w:tr>
            <w:tr>
              <w:tc>
                <w:tcPr/>
                <w:p>
                  <w:pPr>
                    <w:pStyle w:val="Compact"/>
                    <w:jc w:val="left"/>
                    <w:jc w:val="center"/>
                  </w:pPr>
                  <m:oMath>
                    <m:sSub>
                      <m:e>
                        <m:r>
                          <m:t>v</m:t>
                        </m:r>
                      </m:e>
                      <m:sub>
                        <m:r>
                          <m:t>0</m:t>
                        </m:r>
                      </m:sub>
                    </m:sSub>
                  </m:oMath>
                  <w:r>
                    <w:t xml:space="preserve">​</w:t>
                  </w:r>
                </w:p>
              </w:tc>
              <w:tc>
                <w:tcPr/>
                <w:p>
                  <w:pPr>
                    <w:pStyle w:val="Compact"/>
                    <w:jc w:val="left"/>
                    <w:jc w:val="center"/>
                  </w:pPr>
                  <w:r>
                    <w:t xml:space="preserve">Desorption Velocity</w:t>
                  </w:r>
                </w:p>
              </w:tc>
              <w:tc>
                <w:tcPr/>
                <w:p>
                  <w:pPr>
                    <w:pStyle w:val="Compact"/>
                    <w:jc w:val="left"/>
                    <w:jc w:val="center"/>
                  </w:pPr>
                  <w:r>
                    <w:t xml:space="preserve">Initial dynamic supply rate.</w:t>
                  </w:r>
                </w:p>
              </w:tc>
              <w:tc>
                <w:tcPr/>
                <w:p>
                  <w:pPr>
                    <w:pStyle w:val="Compact"/>
                    <w:jc w:val="left"/>
                    <w:jc w:val="center"/>
                  </w:pPr>
                  <w:r>
                    <w:t xml:space="preserve">Calculated as product of predicted</w:t>
                  </w:r>
                  <w:r>
                    <w:t xml:space="preserve"> </w:t>
                  </w:r>
                  <m:oMath>
                    <m:r>
                      <m:t>k</m:t>
                    </m:r>
                  </m:oMath>
                  <w:r>
                    <w:t xml:space="preserve"> </w:t>
                  </w:r>
                  <w:r>
                    <w:t xml:space="preserve">and empirical</w:t>
                  </w:r>
                  <w:r>
                    <w:t xml:space="preserve"> </w:t>
                  </w:r>
                  <m:oMath>
                    <m:sSub>
                      <m:e>
                        <m:r>
                          <m:t>P</m:t>
                        </m:r>
                      </m:e>
                      <m:sub>
                        <m:r>
                          <m:t>C</m:t>
                        </m:r>
                        <m:r>
                          <m:t>O</m:t>
                        </m:r>
                        <m:r>
                          <m:t>2</m:t>
                        </m:r>
                      </m:sub>
                    </m:sSub>
                  </m:oMath>
                  <w:r>
                    <w:t xml:space="preserve">. Standardized (z-score).</w:t>
                  </w:r>
                </w:p>
              </w:tc>
            </w:tr>
            <w:tr>
              <w:tc>
                <w:tcPr/>
                <w:p>
                  <w:pPr>
                    <w:pStyle w:val="Compact"/>
                    <w:jc w:val="left"/>
                    <w:jc w:val="center"/>
                  </w:pPr>
                  <m:oMath>
                    <m:sSup>
                      <m:e>
                        <m:r>
                          <m:rPr>
                            <m:nor/>
                            <m:sty m:val="p"/>
                          </m:rPr>
                          <m:t>PBC</m:t>
                        </m:r>
                      </m:e>
                      <m:sup>
                        <m:r>
                          <m:rPr>
                            <m:sty m:val="p"/>
                          </m:rPr>
                          <m:t>−</m:t>
                        </m:r>
                        <m:r>
                          <m:t>1</m:t>
                        </m:r>
                      </m:sup>
                    </m:sSup>
                  </m:oMath>
                  <w:r>
                    <w:t xml:space="preserve"> </w:t>
                  </w:r>
                  <w:r>
                    <w:t xml:space="preserve">(</w:t>
                  </w:r>
                  <m:oMath>
                    <m:r>
                      <m:t>1</m:t>
                    </m:r>
                    <m:r>
                      <m:rPr>
                        <m:sty m:val="p"/>
                      </m:rPr>
                      <m:t>/</m:t>
                    </m:r>
                    <m:r>
                      <m:t>b</m:t>
                    </m:r>
                  </m:oMath>
                  <w:r>
                    <w:t xml:space="preserve">)</w:t>
                  </w:r>
                </w:p>
              </w:tc>
              <w:tc>
                <w:tcPr/>
                <w:p>
                  <w:pPr>
                    <w:pStyle w:val="Compact"/>
                    <w:jc w:val="left"/>
                    <w:jc w:val="center"/>
                  </w:pPr>
                  <w:r>
                    <w:t xml:space="preserve">Inverse Buffer Power</w:t>
                  </w:r>
                </w:p>
              </w:tc>
              <w:tc>
                <w:tcPr/>
                <w:p>
                  <w:pPr>
                    <w:pStyle w:val="Compact"/>
                    <w:jc w:val="left"/>
                    <w:jc w:val="center"/>
                  </w:pPr>
                  <w:r>
                    <w:t xml:space="preserve">Inverse of the dynamic</w:t>
                  </w:r>
                  <w:r>
                    <w:t xml:space="preserve"> </w:t>
                  </w:r>
                  <m:oMath>
                    <m:r>
                      <m:t>Q</m:t>
                    </m:r>
                    <m:r>
                      <m:rPr>
                        <m:sty m:val="p"/>
                      </m:rPr>
                      <m:t>/</m:t>
                    </m:r>
                    <m:r>
                      <m:t>I</m:t>
                    </m:r>
                  </m:oMath>
                  <w:r>
                    <w:t xml:space="preserve"> </w:t>
                  </w:r>
                  <w:r>
                    <w:t xml:space="preserve">slope (</w:t>
                  </w:r>
                  <m:oMath>
                    <m:r>
                      <m:t>d</m:t>
                    </m:r>
                    <m:r>
                      <m:t>I</m:t>
                    </m:r>
                    <m:r>
                      <m:rPr>
                        <m:sty m:val="p"/>
                      </m:rPr>
                      <m:t>/</m:t>
                    </m:r>
                    <m:r>
                      <m:t>d</m:t>
                    </m:r>
                    <m:r>
                      <m:t>Q</m:t>
                    </m:r>
                  </m:oMath>
                  <w:r>
                    <w:t xml:space="preserve">).</w:t>
                  </w:r>
                </w:p>
              </w:tc>
              <w:tc>
                <w:tcPr/>
                <w:p>
                  <w:pPr>
                    <w:pStyle w:val="Compact"/>
                    <w:jc w:val="left"/>
                    <w:jc w:val="center"/>
                  </w:pPr>
                  <w:r>
                    <w:t xml:space="preserve">Analytically derived from predicted Freundlich isotherms. Standardized (z-score).</w:t>
                  </w:r>
                </w:p>
              </w:tc>
            </w:tr>
            <w:tr>
              <w:tc>
                <w:tcPr/>
                <w:p>
                  <w:pPr>
                    <w:pStyle w:val="Compact"/>
                    <w:jc w:val="left"/>
                    <w:jc w:val="center"/>
                  </w:pPr>
                  <m:oMath>
                    <m:r>
                      <m:t>F</m:t>
                    </m:r>
                    <m:sSub>
                      <m:e>
                        <m:r>
                          <m:t>e</m:t>
                        </m:r>
                      </m:e>
                      <m:sub>
                        <m:r>
                          <m:t>o</m:t>
                        </m:r>
                        <m:r>
                          <m:t>x</m:t>
                        </m:r>
                      </m:sub>
                    </m:sSub>
                    <m:r>
                      <m:rPr>
                        <m:sty m:val="p"/>
                      </m:rPr>
                      <m:t>,</m:t>
                    </m:r>
                    <m:r>
                      <m:t>A</m:t>
                    </m:r>
                    <m:sSub>
                      <m:e>
                        <m:r>
                          <m:t>l</m:t>
                        </m:r>
                      </m:e>
                      <m:sub>
                        <m:r>
                          <m:t>o</m:t>
                        </m:r>
                        <m:r>
                          <m:t>x</m:t>
                        </m:r>
                      </m:sub>
                    </m:sSub>
                  </m:oMath>
                  <w:r>
                    <w:t xml:space="preserve">​</w:t>
                  </w:r>
                </w:p>
              </w:tc>
              <w:tc>
                <w:tcPr/>
                <w:p>
                  <w:pPr>
                    <w:pStyle w:val="Compact"/>
                    <w:jc w:val="left"/>
                    <w:jc w:val="center"/>
                  </w:pPr>
                  <w:r>
                    <w:t xml:space="preserve">Amorphous Oxides</w:t>
                  </w:r>
                </w:p>
              </w:tc>
              <w:tc>
                <w:tcPr/>
                <w:p>
                  <w:pPr>
                    <w:pStyle w:val="Compact"/>
                    <w:jc w:val="left"/>
                    <w:jc w:val="center"/>
                  </w:pPr>
                  <w:r>
                    <w:t xml:space="preserve">Amorphous Iron and Aluminum oxides.</w:t>
                  </w:r>
                </w:p>
              </w:tc>
              <w:tc>
                <w:tcPr/>
                <w:p>
                  <w:pPr>
                    <w:pStyle w:val="Compact"/>
                    <w:jc w:val="left"/>
                    <w:jc w:val="center"/>
                  </w:pPr>
                  <w:r>
                    <w:t xml:space="preserve">Averaged into invariant site-means to remove management artifacts, log-transformed, and standardized.</w:t>
                  </w:r>
                </w:p>
              </w:tc>
            </w:tr>
            <w:tr>
              <w:tc>
                <w:tcPr/>
                <w:p>
                  <w:pPr>
                    <w:pStyle w:val="Compact"/>
                    <w:jc w:val="left"/>
                    <w:jc w:val="center"/>
                  </w:pPr>
                  <w:r>
                    <w:t xml:space="preserve">Fine Texture</w:t>
                  </w:r>
                </w:p>
              </w:tc>
              <w:tc>
                <w:tcPr/>
                <w:p>
                  <w:pPr>
                    <w:pStyle w:val="Compact"/>
                    <w:jc w:val="left"/>
                    <w:jc w:val="center"/>
                  </w:pPr>
                  <w:r>
                    <w:t xml:space="preserve">Clay + Silt</w:t>
                  </w:r>
                </w:p>
              </w:tc>
              <w:tc>
                <w:tcPr/>
                <w:p>
                  <w:pPr>
                    <w:pStyle w:val="Compact"/>
                    <w:jc w:val="left"/>
                    <w:jc w:val="center"/>
                  </w:pPr>
                  <w:r>
                    <w:t xml:space="preserve">Sum of clay and silt fractions.</w:t>
                  </w:r>
                </w:p>
              </w:tc>
              <w:tc>
                <w:tcPr/>
                <w:p>
                  <w:pPr>
                    <w:pStyle w:val="Compact"/>
                    <w:jc w:val="left"/>
                    <w:jc w:val="center"/>
                  </w:pPr>
                  <w:r>
                    <w:t xml:space="preserve">Log-transformed sum to linearize bounds, standardized. Missing values imputed with site-means.</w:t>
                  </w:r>
                </w:p>
              </w:tc>
            </w:tr>
            <w:tr>
              <w:tc>
                <w:tcPr/>
                <w:p>
                  <w:pPr>
                    <w:pStyle w:val="Compact"/>
                    <w:jc w:val="left"/>
                    <w:jc w:val="center"/>
                  </w:pPr>
                  <w:r>
                    <w:t xml:space="preserve">pH</w:t>
                  </w:r>
                </w:p>
              </w:tc>
              <w:tc>
                <w:tcPr/>
                <w:p>
                  <w:pPr>
                    <w:pStyle w:val="Compact"/>
                    <w:jc w:val="left"/>
                    <w:jc w:val="center"/>
                  </w:pPr>
                  <w:r>
                    <w:t xml:space="preserve">Soil pH (</w:t>
                  </w:r>
                  <m:oMath>
                    <m:sSub>
                      <m:e>
                        <m:r>
                          <m:t>H</m:t>
                        </m:r>
                      </m:e>
                      <m:sub>
                        <m:r>
                          <m:t>2</m:t>
                        </m:r>
                      </m:sub>
                    </m:sSub>
                    <m:r>
                      <m:t>O</m:t>
                    </m:r>
                  </m:oMath>
                  <w:r>
                    <w:t xml:space="preserve">)</w:t>
                  </w:r>
                </w:p>
              </w:tc>
              <w:tc>
                <w:tcPr/>
                <w:p>
                  <w:pPr>
                    <w:pStyle w:val="Compact"/>
                    <w:jc w:val="left"/>
                    <w:jc w:val="center"/>
                  </w:pPr>
                  <w:r>
                    <w:t xml:space="preserve">Soil pH measured in water.</w:t>
                  </w:r>
                </w:p>
              </w:tc>
              <w:tc>
                <w:tcPr/>
                <w:p>
                  <w:pPr>
                    <w:pStyle w:val="Compact"/>
                    <w:jc w:val="left"/>
                    <w:jc w:val="center"/>
                  </w:pPr>
                  <w:r>
                    <w:t xml:space="preserve">Standardized directly.</w:t>
                  </w:r>
                </w:p>
              </w:tc>
            </w:tr>
            <w:tr>
              <w:tc>
                <w:tcPr/>
                <w:p>
                  <w:pPr>
                    <w:pStyle w:val="Compact"/>
                    <w:jc w:val="left"/>
                    <w:jc w:val="center"/>
                  </w:pPr>
                  <m:oMath>
                    <m:sSub>
                      <m:e>
                        <m:r>
                          <m:t>C</m:t>
                        </m:r>
                      </m:e>
                      <m:sub>
                        <m:r>
                          <m:t>o</m:t>
                        </m:r>
                        <m:r>
                          <m:t>r</m:t>
                        </m:r>
                        <m:r>
                          <m:t>g</m:t>
                        </m:r>
                      </m:sub>
                    </m:sSub>
                  </m:oMath>
                  <w:r>
                    <w:t xml:space="preserve">​</w:t>
                  </w:r>
                </w:p>
              </w:tc>
              <w:tc>
                <w:tcPr/>
                <w:p>
                  <w:pPr>
                    <w:pStyle w:val="Compact"/>
                    <w:jc w:val="left"/>
                    <w:jc w:val="center"/>
                  </w:pPr>
                  <w:r>
                    <w:t xml:space="preserve">Organic Carbon</w:t>
                  </w:r>
                </w:p>
              </w:tc>
              <w:tc>
                <w:tcPr/>
                <w:p>
                  <w:pPr>
                    <w:pStyle w:val="Compact"/>
                    <w:jc w:val="left"/>
                    <w:jc w:val="center"/>
                  </w:pPr>
                  <w:r>
                    <w:t xml:space="preserve">Total organic carbon.</w:t>
                  </w:r>
                </w:p>
              </w:tc>
              <w:tc>
                <w:tcPr/>
                <w:p>
                  <w:pPr>
                    <w:pStyle w:val="Compact"/>
                    <w:jc w:val="left"/>
                    <w:jc w:val="center"/>
                  </w:pPr>
                  <w:r>
                    <w:t xml:space="preserve">Log-transformed and standardized. Missing values imputed with site-means.</w:t>
                  </w:r>
                </w:p>
              </w:tc>
            </w:tr>
            <w:tr>
              <w:tc>
                <w:tcPr/>
                <w:p>
                  <w:pPr>
                    <w:pStyle w:val="Compact"/>
                    <w:jc w:val="left"/>
                    <w:jc w:val="center"/>
                  </w:pPr>
                  <w:r>
                    <w:t xml:space="preserve">Ca, Mg, K</w:t>
                  </w:r>
                </w:p>
              </w:tc>
              <w:tc>
                <w:tcPr/>
                <w:p>
                  <w:pPr>
                    <w:pStyle w:val="Compact"/>
                    <w:jc w:val="left"/>
                    <w:jc w:val="center"/>
                  </w:pPr>
                  <w:r>
                    <w:t xml:space="preserve">Exchangeable Cations</w:t>
                  </w:r>
                </w:p>
              </w:tc>
              <w:tc>
                <w:tcPr/>
                <w:p>
                  <w:pPr>
                    <w:pStyle w:val="Compact"/>
                    <w:jc w:val="left"/>
                    <w:jc w:val="center"/>
                  </w:pPr>
                  <w:r>
                    <w:t xml:space="preserve">AAE10-extractable background cations.</w:t>
                  </w:r>
                </w:p>
              </w:tc>
              <w:tc>
                <w:tcPr/>
                <w:p>
                  <w:pPr>
                    <w:pStyle w:val="Compact"/>
                    <w:jc w:val="left"/>
                    <w:jc w:val="center"/>
                  </w:pPr>
                  <w:r>
                    <w:t xml:space="preserve">Missing values imputed using site medians (or global medians if site missing). Log-transformed and standardized.</w:t>
                  </w:r>
                </w:p>
              </w:tc>
            </w:tr>
            <w:tr>
              <w:tc>
                <w:tcPr/>
                <w:p>
                  <w:pPr>
                    <w:pStyle w:val="Compact"/>
                    <w:jc w:val="left"/>
                    <w:jc w:val="center"/>
                  </w:pPr>
                  <m:oMath>
                    <m:r>
                      <m:t>T</m:t>
                    </m:r>
                    <m:r>
                      <m:t>e</m:t>
                    </m:r>
                    <m:r>
                      <m:t>m</m:t>
                    </m:r>
                    <m:sSub>
                      <m:e>
                        <m:r>
                          <m:t>p</m:t>
                        </m:r>
                      </m:e>
                      <m:sub>
                        <m:r>
                          <m:t>A</m:t>
                        </m:r>
                        <m:r>
                          <m:t>n</m:t>
                        </m:r>
                        <m:r>
                          <m:t>o</m:t>
                        </m:r>
                        <m:r>
                          <m:t>m</m:t>
                        </m:r>
                      </m:sub>
                    </m:sSub>
                    <m:r>
                      <m:rPr>
                        <m:sty m:val="p"/>
                      </m:rPr>
                      <m:t>,</m:t>
                    </m:r>
                    <m:r>
                      <m:t>P</m:t>
                    </m:r>
                    <m:r>
                      <m:t>r</m:t>
                    </m:r>
                    <m:r>
                      <m:t>e</m:t>
                    </m:r>
                    <m:sSub>
                      <m:e>
                        <m:r>
                          <m:t>c</m:t>
                        </m:r>
                      </m:e>
                      <m:sub>
                        <m:r>
                          <m:t>A</m:t>
                        </m:r>
                        <m:r>
                          <m:t>n</m:t>
                        </m:r>
                        <m:r>
                          <m:t>o</m:t>
                        </m:r>
                        <m:r>
                          <m:t>m</m:t>
                        </m:r>
                      </m:sub>
                    </m:sSub>
                  </m:oMath>
                  <w:r>
                    <w:t xml:space="preserve">​</w:t>
                  </w:r>
                </w:p>
              </w:tc>
              <w:tc>
                <w:tcPr/>
                <w:p>
                  <w:pPr>
                    <w:pStyle w:val="Compact"/>
                    <w:jc w:val="left"/>
                    <w:jc w:val="center"/>
                  </w:pPr>
                  <w:r>
                    <w:t xml:space="preserve">Climate Anomalies</w:t>
                  </w:r>
                </w:p>
              </w:tc>
              <w:tc>
                <w:tcPr/>
                <w:p>
                  <w:pPr>
                    <w:pStyle w:val="Compact"/>
                    <w:jc w:val="left"/>
                    <w:jc w:val="center"/>
                  </w:pPr>
                  <w:r>
                    <w:t xml:space="preserve">Juvenile phase temp/prec deviations.</w:t>
                  </w:r>
                </w:p>
              </w:tc>
              <w:tc>
                <w:tcPr/>
                <w:p>
                  <w:pPr>
                    <w:pStyle w:val="Compact"/>
                    <w:jc w:val="left"/>
                    <w:jc w:val="center"/>
                  </w:pPr>
                  <w:r>
                    <w:t xml:space="preserve">Calculated as absolute deviation from the site’s long-term historical mean. Standardized.</w:t>
                  </w:r>
                </w:p>
              </w:tc>
            </w:tr>
            <w:tr>
              <w:tc>
                <w:tcPr/>
                <w:p>
                  <w:pPr>
                    <w:pStyle w:val="Compact"/>
                    <w:jc w:val="left"/>
                    <w:jc w:val="center"/>
                  </w:pPr>
                  <w:r>
                    <w:t xml:space="preserve">Fert N</w:t>
                  </w:r>
                </w:p>
              </w:tc>
              <w:tc>
                <w:tcPr/>
                <w:p>
                  <w:pPr>
                    <w:pStyle w:val="Compact"/>
                    <w:jc w:val="left"/>
                    <w:jc w:val="center"/>
                  </w:pPr>
                  <w:r>
                    <w:t xml:space="preserve">Nitrogen Fertilizer</w:t>
                  </w:r>
                </w:p>
              </w:tc>
              <w:tc>
                <w:tcPr/>
                <w:p>
                  <w:pPr>
                    <w:pStyle w:val="Compact"/>
                    <w:jc w:val="left"/>
                    <w:jc w:val="center"/>
                  </w:pPr>
                  <w:r>
                    <w:t xml:space="preserve">Total applied nitrogen fertilizer.</w:t>
                  </w:r>
                </w:p>
              </w:tc>
              <w:tc>
                <w:tcPr/>
                <w:p>
                  <w:pPr>
                    <w:pStyle w:val="Compact"/>
                    <w:jc w:val="left"/>
                    <w:jc w:val="center"/>
                  </w:pPr>
                  <w:r>
                    <w:t xml:space="preserve">Standardized directly.</w:t>
                  </w:r>
                </w:p>
              </w:tc>
            </w:tr>
          </w:tbl>
          <w:bookmarkEnd w:id="33"/>
          <w:p/>
        </w:tc>
      </w:tr>
    </w:tbl>
    <w:bookmarkEnd w:id="34"/>
    <w:bookmarkStart w:id="35" w:name="X44bb14175a86972320c11f91acf6da54ae42ffd"/>
    <w:p>
      <w:pPr>
        <w:pStyle w:val="Heading3"/>
      </w:pPr>
      <w:r>
        <w:t xml:space="preserve">2.5.5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w:t>
      </w:r>
      <w:r>
        <w:t xml:space="preserve"> </w:t>
      </w:r>
      <w:r>
        <w:t xml:space="preserve">(Barber &amp; Cushman, 1981)</w:t>
      </w:r>
      <w:r>
        <w:t xml:space="preserve"> </w:t>
      </w:r>
      <w:r>
        <w:t xml:space="preserve">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kept as empirical concentration (</w:t>
      </w:r>
      <m:oMath>
        <m:sSub>
          <m:e>
            <m:r>
              <m:t>c</m:t>
            </m:r>
          </m:e>
          <m:sub>
            <m:r>
              <m:t>l</m:t>
            </m:r>
          </m:sub>
        </m:sSub>
      </m:oMath>
      <w:r>
        <w:t xml:space="preserve">), and the static buffer power was replaced with a dynamic, first-order kinetic source term (</w:t>
      </w:r>
      <m:oMath>
        <m:sSub>
          <m:e>
            <m:r>
              <m:t>R</m:t>
            </m:r>
          </m:e>
          <m:sub>
            <m:r>
              <m:t>d</m:t>
            </m:r>
            <m:r>
              <m:t>e</m:t>
            </m:r>
            <m:r>
              <m:t>s</m:t>
            </m:r>
            <m:r>
              <m:t>o</m:t>
            </m:r>
            <m:r>
              <m:t>r</m:t>
            </m:r>
            <m:r>
              <m:t>p</m:t>
            </m:r>
            <m:r>
              <m:t>t</m:t>
            </m:r>
            <m:r>
              <m:t>i</m:t>
            </m:r>
            <m:r>
              <m:t>o</m:t>
            </m:r>
            <m:r>
              <m:t>n</m:t>
            </m:r>
          </m:sub>
        </m:sSub>
      </m:oMath>
      <w:r>
        <w:t xml:space="preserve">):</w:t>
      </w:r>
    </w:p>
    <w:p>
      <w:pPr>
        <w:pStyle w:val="BodyText"/>
      </w:pPr>
      <m:oMathPara>
        <m:oMathParaPr>
          <m:jc m:val="center"/>
        </m:oMathParaPr>
        <m:oMath>
          <m:f>
            <m:fPr>
              <m:type m:val="bar"/>
            </m:fPr>
            <m:num>
              <m:r>
                <m:rPr>
                  <m:sty m:val="p"/>
                </m:rPr>
                <m:t>∂</m:t>
              </m:r>
              <m:sSub>
                <m:e>
                  <m:r>
                    <m:t>c</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c</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c</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c</m:t>
                  </m:r>
                </m:e>
                <m:sub>
                  <m:r>
                    <m:t>l</m:t>
                  </m:r>
                </m:sub>
              </m:sSub>
            </m:num>
            <m:den>
              <m:r>
                <m:rPr>
                  <m:sty m:val="p"/>
                </m:rPr>
                <m:t>∂</m:t>
              </m:r>
              <m:r>
                <m:t>r</m:t>
              </m:r>
            </m:den>
          </m:f>
          <m:r>
            <m:rPr>
              <m:sty m:val="p"/>
            </m:rPr>
            <m:t>+</m:t>
          </m:r>
          <m:sSub>
            <m:e>
              <m:r>
                <m:t>R</m:t>
              </m:r>
            </m:e>
            <m:sub>
              <m:r>
                <m:t>d</m:t>
              </m:r>
              <m:r>
                <m:t>e</m:t>
              </m:r>
              <m:r>
                <m:t>s</m:t>
              </m:r>
              <m:r>
                <m:t>o</m:t>
              </m:r>
              <m:r>
                <m:t>r</m:t>
              </m:r>
              <m:r>
                <m:t>p</m:t>
              </m:r>
              <m:r>
                <m:t>t</m:t>
              </m:r>
              <m:r>
                <m:t>i</m:t>
              </m:r>
              <m:r>
                <m:t>o</m:t>
              </m:r>
              <m:r>
                <m:t>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t>d</m:t>
              </m:r>
              <m:r>
                <m:t>e</m:t>
              </m:r>
              <m:r>
                <m:t>s</m:t>
              </m:r>
              <m:r>
                <m:t>o</m:t>
              </m:r>
              <m:r>
                <m:t>r</m:t>
              </m:r>
              <m:r>
                <m:t>p</m:t>
              </m:r>
              <m:r>
                <m:t>t</m:t>
              </m:r>
              <m:r>
                <m:t>i</m:t>
              </m:r>
              <m:r>
                <m:t>o</m:t>
              </m:r>
              <m:r>
                <m:t>n</m:t>
              </m:r>
            </m:sub>
          </m:sSub>
          <m:r>
            <m:rPr>
              <m:sty m:val="p"/>
            </m:rPr>
            <m:t>=</m:t>
          </m:r>
          <m:r>
            <m:t>k</m:t>
          </m:r>
          <m:r>
            <m:rPr>
              <m:sty m:val="p"/>
            </m:rPr>
            <m:t>⋅</m:t>
          </m:r>
          <m:r>
            <m:rPr>
              <m:sty m:val="p"/>
            </m:rPr>
            <m:t>(</m:t>
          </m:r>
          <m:sSub>
            <m:e>
              <m:r>
                <m:t>c</m:t>
              </m:r>
            </m:e>
            <m:sub>
              <m:r>
                <m:t>m</m:t>
              </m:r>
              <m:r>
                <m:t>a</m:t>
              </m:r>
              <m:r>
                <m:t>x</m:t>
              </m:r>
            </m:sub>
          </m:sSub>
          <m:r>
            <m:rPr>
              <m:sty m:val="p"/>
            </m:rPr>
            <m:t>−</m:t>
          </m:r>
          <m:sSub>
            <m:e>
              <m:r>
                <m:t>c</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w:t>
      </w:r>
      <w:r>
        <w:t xml:space="preserve"> </w:t>
      </w:r>
      <w:r>
        <w:t xml:space="preserve">(Michaelis &amp; Menten, 1913)</w:t>
      </w:r>
      <w:r>
        <w:t xml:space="preserve">, accounting for both high-affinity (PHT1) and low-affinity (LATS) transporter kinetics. The binding kinetics of these transporters are governed by the fundamental thermodynamic driving force of the substrate: its chemical activity (</w:t>
      </w:r>
      <m:oMath>
        <m:r>
          <m:t>a</m:t>
        </m:r>
      </m:oMath>
      <w:r>
        <w:t xml:space="preserve">), not its total stoichiometric concentration (</w:t>
      </w:r>
      <m:oMath>
        <m:r>
          <m:t>c</m:t>
        </m:r>
      </m:oMath>
      <w:r>
        <w:t xml:space="preserve">)</w:t>
      </w:r>
      <w:r>
        <w:t xml:space="preserve"> </w:t>
      </w:r>
      <w:r>
        <w:t xml:space="preserve">(Atkins &amp; Paula, 2011; Minton, 2001)</w:t>
      </w:r>
      <w:r>
        <w:t xml:space="preserve">. The boundary condition was defined as:</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c</m:t>
                  </m:r>
                </m:e>
                <m:sub>
                  <m:r>
                    <m:t>l</m:t>
                  </m:r>
                </m:sub>
              </m:sSub>
              <m:r>
                <m:rPr>
                  <m:sty m:val="p"/>
                </m:rPr>
                <m:t>−</m:t>
              </m:r>
              <m:sSub>
                <m:e>
                  <m:r>
                    <m:t>c</m:t>
                  </m:r>
                </m:e>
                <m:sub>
                  <m:r>
                    <m:t>m</m:t>
                  </m:r>
                  <m:r>
                    <m:t>i</m:t>
                  </m:r>
                  <m:r>
                    <m:t>n</m:t>
                  </m:r>
                </m:sub>
              </m:sSub>
              <m:r>
                <m:rPr>
                  <m:sty m:val="p"/>
                </m:rPr>
                <m:t>)</m:t>
              </m:r>
            </m:num>
            <m:den>
              <m:sSub>
                <m:e>
                  <m:r>
                    <m:t>K</m:t>
                  </m:r>
                </m:e>
                <m:sub>
                  <m:r>
                    <m:t>m</m:t>
                  </m:r>
                  <m:r>
                    <m:t>1</m:t>
                  </m:r>
                </m:sub>
              </m:sSub>
              <m:r>
                <m:rPr>
                  <m:sty m:val="p"/>
                </m:rPr>
                <m:t>+</m:t>
              </m:r>
              <m:r>
                <m:rPr>
                  <m:sty m:val="p"/>
                </m:rPr>
                <m:t>(</m:t>
              </m:r>
              <m:sSub>
                <m:e>
                  <m:r>
                    <m:t>c</m:t>
                  </m:r>
                </m:e>
                <m:sub>
                  <m:r>
                    <m:t>l</m:t>
                  </m:r>
                </m:sub>
              </m:sSub>
              <m:r>
                <m:rPr>
                  <m:sty m:val="p"/>
                </m:rPr>
                <m:t>−</m:t>
              </m:r>
              <m:sSub>
                <m:e>
                  <m:r>
                    <m:t>c</m:t>
                  </m:r>
                </m:e>
                <m:sub>
                  <m:r>
                    <m:t>m</m:t>
                  </m:r>
                  <m:r>
                    <m:t>i</m:t>
                  </m:r>
                  <m:r>
                    <m:t>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c</m:t>
                  </m:r>
                </m:e>
                <m:sub>
                  <m:r>
                    <m:t>l</m:t>
                  </m:r>
                </m:sub>
              </m:sSub>
              <m:r>
                <m:rPr>
                  <m:sty m:val="p"/>
                </m:rPr>
                <m:t>−</m:t>
              </m:r>
              <m:sSub>
                <m:e>
                  <m:r>
                    <m:t>c</m:t>
                  </m:r>
                </m:e>
                <m:sub>
                  <m:r>
                    <m:t>m</m:t>
                  </m:r>
                  <m:r>
                    <m:t>i</m:t>
                  </m:r>
                  <m:r>
                    <m:t>n</m:t>
                  </m:r>
                </m:sub>
              </m:sSub>
              <m:r>
                <m:rPr>
                  <m:sty m:val="p"/>
                </m:rPr>
                <m:t>)</m:t>
              </m:r>
            </m:num>
            <m:den>
              <m:sSub>
                <m:e>
                  <m:r>
                    <m:t>K</m:t>
                  </m:r>
                </m:e>
                <m:sub>
                  <m:r>
                    <m:t>m</m:t>
                  </m:r>
                  <m:r>
                    <m:t>2</m:t>
                  </m:r>
                </m:sub>
              </m:sSub>
              <m:r>
                <m:rPr>
                  <m:sty m:val="p"/>
                </m:rPr>
                <m:t>+</m:t>
              </m:r>
              <m:r>
                <m:rPr>
                  <m:sty m:val="p"/>
                </m:rPr>
                <m:t>(</m:t>
              </m:r>
              <m:sSub>
                <m:e>
                  <m:r>
                    <m:t>c</m:t>
                  </m:r>
                </m:e>
                <m:sub>
                  <m:r>
                    <m:t>l</m:t>
                  </m:r>
                </m:sub>
              </m:sSub>
              <m:r>
                <m:rPr>
                  <m:sty m:val="p"/>
                </m:rPr>
                <m:t>−</m:t>
              </m:r>
              <m:sSub>
                <m:e>
                  <m:r>
                    <m:t>c</m:t>
                  </m:r>
                </m:e>
                <m:sub>
                  <m:r>
                    <m:t>m</m:t>
                  </m:r>
                  <m:r>
                    <m:t>i</m:t>
                  </m:r>
                  <m:r>
                    <m:t>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bookmarkEnd w:id="35"/>
    <w:bookmarkStart w:id="36" w:name="derivation-of-critical-thresholds-p_crit"/>
    <w:p>
      <w:pPr>
        <w:pStyle w:val="Heading3"/>
      </w:pPr>
      <w:r>
        <w:t xml:space="preserve">2.5.6 6. Derivation of Critical Thresholds (</w:t>
      </w:r>
      <m:oMath>
        <m:sSub>
          <m:e>
            <m:r>
              <m:t>P</m:t>
            </m:r>
          </m:e>
          <m:sub>
            <m:r>
              <m:t>c</m:t>
            </m:r>
            <m:r>
              <m:t>r</m:t>
            </m:r>
            <m:r>
              <m:t>i</m:t>
            </m:r>
            <m:r>
              <m:t>t</m:t>
            </m:r>
          </m:sub>
        </m:sSub>
      </m:oMath>
      <w:r>
        <w:t xml:space="preserve">)</w:t>
      </w:r>
    </w:p>
    <w:p>
      <w:pPr>
        <w:pStyle w:val="FirstParagraph"/>
      </w:pPr>
      <w:r>
        <w:t xml:space="preserve">To translate the phenomenological models into actionable agronomic metrics, the critical Soil Test Phosphorus (</w:t>
      </w:r>
      <m:oMath>
        <m:sSub>
          <m:e>
            <m:r>
              <m:t>P</m:t>
            </m:r>
          </m:e>
          <m:sub>
            <m:r>
              <m:t>c</m:t>
            </m:r>
            <m:r>
              <m:t>r</m:t>
            </m:r>
            <m:r>
              <m:t>i</m:t>
            </m:r>
            <m:r>
              <m:t>t</m:t>
            </m:r>
          </m:sub>
        </m:sSub>
      </m:oMath>
      <w:r>
        <w:t xml:space="preserve">) threshold was analytically derived from all three modeling frameworks. Rather than relying on arbitrary inflection points, each derivation represents a distinct physiological or agronomic paradigm:</w:t>
      </w:r>
    </w:p>
    <w:p>
      <w:pPr>
        <w:pStyle w:val="BodyText"/>
      </w:pPr>
      <w:r>
        <w:rPr>
          <w:b/>
          <w:bCs/>
        </w:rPr>
        <w:t xml:space="preserve">1. The Relative Yield Paradigm (The Production Target)</w:t>
      </w:r>
      <w:r>
        <w:t xml:space="preserve"> </w:t>
      </w:r>
      <w:r>
        <w:t xml:space="preserve">Agronomically,</w:t>
      </w:r>
      <w:r>
        <w:t xml:space="preserve"> </w:t>
      </w:r>
      <m:oMath>
        <m:sSub>
          <m:e>
            <m:r>
              <m:t>P</m:t>
            </m:r>
          </m:e>
          <m:sub>
            <m:r>
              <m:t>c</m:t>
            </m:r>
            <m:r>
              <m:t>r</m:t>
            </m:r>
            <m:r>
              <m:t>i</m:t>
            </m:r>
            <m:r>
              <m:t>t</m:t>
            </m:r>
          </m:sub>
        </m:sSub>
      </m:oMath>
      <w:r>
        <w:t xml:space="preserve"> </w:t>
      </w:r>
      <w:r>
        <w:t xml:space="preserve">is classically defined as the STP required to achieve a specific operational threshold, commonly set as an</w:t>
      </w:r>
      <w:r>
        <w:t xml:space="preserve"> </w:t>
      </w:r>
      <m:oMath>
        <m:r>
          <m:t>x</m:t>
        </m:r>
        <m:r>
          <m:rPr>
            <m:sty m:val="p"/>
          </m:rPr>
          <m:t>%</m:t>
        </m:r>
      </m:oMath>
      <w:r>
        <w:t xml:space="preserve"> </w:t>
      </w:r>
      <w:r>
        <w:t xml:space="preserve">relative yield target (</w:t>
      </w:r>
      <m:oMath>
        <m:sSub>
          <m:e>
            <m:r>
              <m:t>q</m:t>
            </m:r>
          </m:e>
          <m:sub>
            <m:r>
              <m:t>Y</m:t>
            </m:r>
          </m:sub>
        </m:sSub>
      </m:oMath>
      <w:r>
        <w:t xml:space="preserve">, e.g., 0.95). By setting the relative yield target to</w:t>
      </w:r>
      <w:r>
        <w:t xml:space="preserve"> </w:t>
      </w:r>
      <m:oMath>
        <m:sSub>
          <m:e>
            <m:r>
              <m:t>q</m:t>
            </m:r>
          </m:e>
          <m:sub>
            <m:r>
              <m:t>Y</m:t>
            </m:r>
          </m:sub>
        </m:sSub>
      </m:oMath>
      <w:r>
        <w:t xml:space="preserve"> </w:t>
      </w:r>
      <w:r>
        <w:t xml:space="preserve">in the full Mitscherlich equation (</w:t>
      </w:r>
      <m:oMath>
        <m:sSub>
          <m:e>
            <m:r>
              <m:t>Y</m:t>
            </m:r>
          </m:e>
          <m:sub>
            <m:r>
              <m:t>r</m:t>
            </m:r>
            <m:r>
              <m:t>e</m:t>
            </m:r>
            <m:r>
              <m:t>l</m:t>
            </m:r>
          </m:sub>
        </m:sSub>
        <m:r>
          <m:rPr>
            <m:sty m:val="p"/>
          </m:rPr>
          <m:t>=</m:t>
        </m:r>
        <m:r>
          <m:t>1</m:t>
        </m:r>
        <m:r>
          <m:rPr>
            <m:sty m:val="p"/>
          </m:rPr>
          <m:t>−</m:t>
        </m:r>
        <m:r>
          <m:rPr>
            <m:sty m:val="p"/>
          </m:rPr>
          <m:t>exp</m:t>
        </m:r>
        <m:r>
          <m:rPr>
            <m:sty m:val="p"/>
          </m:rPr>
          <m:t>(</m:t>
        </m:r>
        <m:r>
          <m:rPr>
            <m:sty m:val="p"/>
          </m:rPr>
          <m:t>−</m:t>
        </m:r>
        <m:sSub>
          <m:e>
            <m:r>
              <m:t>c</m:t>
            </m:r>
          </m:e>
          <m:sub>
            <m:r>
              <m:t>e</m:t>
            </m:r>
            <m:r>
              <m:t>f</m:t>
            </m:r>
            <m:r>
              <m:t>f</m:t>
            </m:r>
          </m:sub>
        </m:sSub>
        <m:r>
          <m:rPr>
            <m:sty m:val="p"/>
          </m:rPr>
          <m:t>⋅</m:t>
        </m:r>
        <m:r>
          <m:rPr>
            <m:sty m:val="p"/>
          </m:rPr>
          <m:t>(</m:t>
        </m:r>
        <m:r>
          <m:rPr>
            <m:nor/>
            <m:sty m:val="p"/>
          </m:rPr>
          <m:t>STP</m:t>
        </m:r>
        <m:r>
          <m:rPr>
            <m:sty m:val="p"/>
          </m:rPr>
          <m:t>+</m:t>
        </m:r>
        <m:sSub>
          <m:e>
            <m:r>
              <m:t>E</m:t>
            </m:r>
          </m:e>
          <m:sub>
            <m:r>
              <m:t>b</m:t>
            </m:r>
            <m:r>
              <m:t>a</m:t>
            </m:r>
            <m:r>
              <m:t>s</m:t>
            </m:r>
            <m:r>
              <m:t>e</m:t>
            </m:r>
          </m:sub>
        </m:sSub>
        <m:r>
          <m:rPr>
            <m:sty m:val="p"/>
          </m:rPr>
          <m:t>)</m:t>
        </m:r>
        <m:r>
          <m:rPr>
            <m:sty m:val="p"/>
          </m:rPr>
          <m:t>)</m:t>
        </m:r>
      </m:oMath>
      <w:r>
        <w:t xml:space="preserve">), the required soil concentration is extracted:</w:t>
      </w:r>
    </w:p>
    <w:p>
      <w:pPr>
        <w:pStyle w:val="BodyText"/>
      </w:pPr>
      <m:oMathPara>
        <m:oMathParaPr>
          <m:jc m:val="center"/>
        </m:oMathParaPr>
        <m:oMath>
          <m:sSub>
            <m:e>
              <m:r>
                <m:t>P</m:t>
              </m:r>
            </m:e>
            <m:sub>
              <m:r>
                <m:t>c</m:t>
              </m:r>
              <m:r>
                <m:t>r</m:t>
              </m:r>
              <m:r>
                <m:t>i</m:t>
              </m:r>
              <m:r>
                <m:t>t</m:t>
              </m:r>
              <m:r>
                <m:rPr>
                  <m:sty m:val="p"/>
                </m:rPr>
                <m:t>_</m:t>
              </m:r>
              <m:r>
                <m:t>Y</m:t>
              </m:r>
            </m:sub>
          </m:sSub>
          <m:r>
            <m:rPr>
              <m:sty m:val="p"/>
            </m:rPr>
            <m:t>=</m:t>
          </m:r>
          <m:f>
            <m:fPr>
              <m:type m:val="bar"/>
            </m:fPr>
            <m:num>
              <m:r>
                <m:rPr>
                  <m:sty m:val="p"/>
                </m:rPr>
                <m:t>−</m:t>
              </m:r>
              <m:r>
                <m:rPr>
                  <m:sty m:val="p"/>
                </m:rPr>
                <m:t>ln</m:t>
              </m:r>
              <m:r>
                <m:rPr>
                  <m:sty m:val="p"/>
                </m:rPr>
                <m:t>(</m:t>
              </m:r>
              <m:r>
                <m:t>1</m:t>
              </m:r>
              <m:r>
                <m:rPr>
                  <m:sty m:val="p"/>
                </m:rPr>
                <m:t>−</m:t>
              </m:r>
              <m:sSub>
                <m:e>
                  <m:r>
                    <m:t>q</m:t>
                  </m:r>
                </m:e>
                <m:sub>
                  <m:r>
                    <m:t>Y</m:t>
                  </m:r>
                </m:sub>
              </m:sSub>
              <m:r>
                <m:rPr>
                  <m:sty m:val="p"/>
                </m:rPr>
                <m:t>)</m:t>
              </m:r>
            </m:num>
            <m:den>
              <m:sSub>
                <m:e>
                  <m:r>
                    <m:t>c</m:t>
                  </m:r>
                </m:e>
                <m:sub>
                  <m:r>
                    <m:t>e</m:t>
                  </m:r>
                  <m:r>
                    <m:t>f</m:t>
                  </m:r>
                  <m:r>
                    <m:t>f</m:t>
                  </m:r>
                </m:sub>
              </m:sSub>
            </m:den>
          </m:f>
          <m:r>
            <m:rPr>
              <m:sty m:val="p"/>
            </m:rPr>
            <m:t>−</m:t>
          </m:r>
          <m:sSub>
            <m:e>
              <m:r>
                <m:t>E</m:t>
              </m:r>
            </m:e>
            <m:sub>
              <m:r>
                <m:t>b</m:t>
              </m:r>
              <m:r>
                <m:t>a</m:t>
              </m:r>
              <m:r>
                <m:t>s</m:t>
              </m:r>
              <m:r>
                <m:t>e</m:t>
              </m:r>
            </m:sub>
          </m:sSub>
        </m:oMath>
      </m:oMathPara>
    </w:p>
    <w:p>
      <w:pPr>
        <w:pStyle w:val="FirstParagraph"/>
      </w:pPr>
      <w:r>
        <w:t xml:space="preserve">Where the effective rate constant incorporates the pedoclimatic penalties:</w:t>
      </w:r>
      <w:r>
        <w:t xml:space="preserve"> </w:t>
      </w:r>
      <m:oMath>
        <m:sSub>
          <m:e>
            <m:r>
              <m:t>c</m:t>
            </m:r>
          </m:e>
          <m:sub>
            <m:r>
              <m:t>e</m:t>
            </m:r>
            <m:r>
              <m:t>f</m:t>
            </m:r>
            <m:r>
              <m:t>f</m:t>
            </m:r>
          </m:sub>
        </m:sSub>
        <m:r>
          <m:rPr>
            <m:sty m:val="p"/>
          </m:rPr>
          <m:t>=</m:t>
        </m:r>
        <m:sSub>
          <m:e>
            <m:r>
              <m:t>c</m:t>
            </m:r>
          </m:e>
          <m:sub>
            <m:r>
              <m:t>b</m:t>
            </m:r>
            <m:r>
              <m:t>a</m:t>
            </m:r>
            <m:r>
              <m:t>s</m:t>
            </m:r>
            <m:r>
              <m:t>e</m:t>
            </m:r>
          </m:sub>
        </m:sSub>
        <m:r>
          <m:rPr>
            <m:sty m:val="p"/>
          </m:rPr>
          <m:t>⋅</m:t>
        </m:r>
        <m:r>
          <m:rPr>
            <m:sty m:val="p"/>
          </m:rPr>
          <m:t>exp</m:t>
        </m:r>
        <m:r>
          <m:rPr>
            <m:sty m:val="p"/>
          </m:rPr>
          <m:t>(</m:t>
        </m:r>
        <m:sSub>
          <m:e>
            <m:r>
              <m:t>β</m:t>
            </m:r>
          </m:e>
          <m:sub>
            <m:r>
              <m:t>k</m:t>
            </m:r>
            <m:r>
              <m:t>i</m:t>
            </m:r>
            <m:r>
              <m:t>n</m:t>
            </m:r>
          </m:sub>
        </m:sSub>
        <m:r>
          <m:rPr>
            <m:sty m:val="p"/>
          </m:rPr>
          <m:t>⋅</m:t>
        </m:r>
        <m:r>
          <m:rPr>
            <m:nor/>
            <m:sty m:val="p"/>
          </m:rPr>
          <m:t>Kinetics</m:t>
        </m:r>
        <m:r>
          <m:rPr>
            <m:sty m:val="p"/>
          </m:rPr>
          <m:t>+</m:t>
        </m:r>
        <m:r>
          <m:rPr>
            <m:sty m:val="p"/>
          </m:rPr>
          <m:t>…</m:t>
        </m:r>
        <m:r>
          <m:rPr>
            <m:sty m:val="p"/>
          </m:rPr>
          <m:t>)</m:t>
        </m:r>
      </m:oMath>
      <w:r>
        <w:t xml:space="preserve">.</w:t>
      </w:r>
    </w:p>
    <w:p>
      <w:pPr>
        <w:pStyle w:val="BodyText"/>
      </w:pPr>
      <w:r>
        <w:rPr>
          <w:b/>
          <w:bCs/>
        </w:rPr>
        <w:t xml:space="preserve">2. The Tissue Concentration Paradigm (The Physiological Buffer)</w:t>
      </w:r>
      <w:r>
        <w:t xml:space="preserve"> </w:t>
      </w:r>
      <w:r>
        <w:t xml:space="preserve">Because true Piper-Steenbjerg minima were statistically absent, the tissue concentration critical limit was redefined as the threshold necessary to guarantee the plant’s fundamental metabolic baseline (</w:t>
      </w:r>
      <m:oMath>
        <m:sSub>
          <m:e>
            <m:r>
              <m:t>C</m:t>
            </m:r>
          </m:e>
          <m:sub>
            <m:r>
              <m:t>b</m:t>
            </m:r>
            <m:r>
              <m:t>a</m:t>
            </m:r>
            <m:r>
              <m:t>s</m:t>
            </m:r>
            <m:r>
              <m:t>e</m:t>
            </m:r>
          </m:sub>
        </m:sSub>
      </m:oMath>
      <w:r>
        <w:t xml:space="preserve">)</w:t>
      </w:r>
      <w:r>
        <w:t xml:space="preserve"> </w:t>
      </w:r>
      <w:r>
        <w:rPr>
          <w:i/>
          <w:iCs/>
        </w:rPr>
        <w:t xml:space="preserve">plus</w:t>
      </w:r>
      <w:r>
        <w:t xml:space="preserve"> </w:t>
      </w:r>
      <w:r>
        <w:t xml:space="preserve">a luxury reserve (</w:t>
      </w:r>
      <m:oMath>
        <m:r>
          <m:t>γ</m:t>
        </m:r>
      </m:oMath>
      <w:r>
        <w:t xml:space="preserve">, representing an</w:t>
      </w:r>
      <w:r>
        <w:t xml:space="preserve"> </w:t>
      </w:r>
      <m:oMath>
        <m:r>
          <m:t>x</m:t>
        </m:r>
        <m:r>
          <m:rPr>
            <m:sty m:val="p"/>
          </m:rPr>
          <m:t>%</m:t>
        </m:r>
      </m:oMath>
      <w:r>
        <w:t xml:space="preserve"> </w:t>
      </w:r>
      <w:r>
        <w:t xml:space="preserve">safety buffer). Solving the linear mixed-effects model (</w:t>
      </w:r>
      <m:oMath>
        <m:sSub>
          <m:e>
            <m:r>
              <m:t>C</m:t>
            </m:r>
          </m:e>
          <m:sub>
            <m:r>
              <m:t>P</m:t>
            </m:r>
          </m:sub>
        </m:sSub>
        <m:r>
          <m:rPr>
            <m:sty m:val="p"/>
          </m:rPr>
          <m:t>=</m:t>
        </m:r>
        <m:sSub>
          <m:e>
            <m:r>
              <m:t>C</m:t>
            </m:r>
          </m:e>
          <m:sub>
            <m:r>
              <m:t>b</m:t>
            </m:r>
            <m:r>
              <m:t>a</m:t>
            </m:r>
            <m:r>
              <m:t>s</m:t>
            </m:r>
            <m:r>
              <m:t>e</m:t>
            </m:r>
          </m:sub>
        </m:sSub>
        <m:r>
          <m:rPr>
            <m:sty m:val="p"/>
          </m:rPr>
          <m:t>+</m:t>
        </m:r>
        <m:sSub>
          <m:e>
            <m:r>
              <m:t>S</m:t>
            </m:r>
          </m:e>
          <m:sub>
            <m:r>
              <m:t>a</m:t>
            </m:r>
            <m:r>
              <m:t>c</m:t>
            </m:r>
            <m:r>
              <m:t>c</m:t>
            </m:r>
          </m:sub>
        </m:sSub>
        <m:r>
          <m:rPr>
            <m:sty m:val="p"/>
          </m:rPr>
          <m:t>⋅</m:t>
        </m:r>
        <m:r>
          <m:rPr>
            <m:nor/>
            <m:sty m:val="p"/>
          </m:rPr>
          <m:t>STP</m:t>
        </m:r>
      </m:oMath>
      <w:r>
        <w:t xml:space="preserve">) for the target</w:t>
      </w:r>
      <w:r>
        <w:t xml:space="preserve"> </w:t>
      </w:r>
      <m:oMath>
        <m:sSub>
          <m:e>
            <m:r>
              <m:t>C</m:t>
            </m:r>
          </m:e>
          <m:sub>
            <m:r>
              <m:t>b</m:t>
            </m:r>
            <m:r>
              <m:t>a</m:t>
            </m:r>
            <m:r>
              <m:t>s</m:t>
            </m:r>
            <m:r>
              <m:t>e</m:t>
            </m:r>
          </m:sub>
        </m:sSub>
        <m:r>
          <m:rPr>
            <m:sty m:val="p"/>
          </m:rPr>
          <m:t>(</m:t>
        </m:r>
        <m:r>
          <m:t>1</m:t>
        </m:r>
        <m:r>
          <m:rPr>
            <m:sty m:val="p"/>
          </m:rPr>
          <m:t>+</m:t>
        </m:r>
        <m:r>
          <m:t>γ</m:t>
        </m:r>
        <m:r>
          <m:rPr>
            <m:sty m:val="p"/>
          </m:rPr>
          <m:t>)</m:t>
        </m:r>
      </m:oMath>
      <w:r>
        <w:t xml:space="preserve"> </w:t>
      </w:r>
      <w:r>
        <w:t xml:space="preserve">yields:</w:t>
      </w:r>
    </w:p>
    <w:p>
      <w:pPr>
        <w:pStyle w:val="BodyText"/>
      </w:pPr>
      <m:oMathPara>
        <m:oMathParaPr>
          <m:jc m:val="center"/>
        </m:oMathParaPr>
        <m:oMath>
          <m:sSub>
            <m:e>
              <m:r>
                <m:t>P</m:t>
              </m:r>
            </m:e>
            <m:sub>
              <m:r>
                <m:t>c</m:t>
              </m:r>
              <m:r>
                <m:t>r</m:t>
              </m:r>
              <m:r>
                <m:t>i</m:t>
              </m:r>
              <m:r>
                <m:t>t</m:t>
              </m:r>
              <m:r>
                <m:rPr>
                  <m:sty m:val="p"/>
                </m:rPr>
                <m:t>_</m:t>
              </m:r>
              <m:r>
                <m:t>C</m:t>
              </m:r>
            </m:sub>
          </m:sSub>
          <m:r>
            <m:rPr>
              <m:sty m:val="p"/>
            </m:rPr>
            <m:t>=</m:t>
          </m:r>
          <m:f>
            <m:fPr>
              <m:type m:val="bar"/>
            </m:fPr>
            <m:num>
              <m:r>
                <m:t>γ</m:t>
              </m:r>
              <m:r>
                <m:rPr>
                  <m:sty m:val="p"/>
                </m:rPr>
                <m:t>⋅</m:t>
              </m:r>
              <m:sSub>
                <m:e>
                  <m:r>
                    <m:t>C</m:t>
                  </m:r>
                </m:e>
                <m:sub>
                  <m:r>
                    <m:t>b</m:t>
                  </m:r>
                  <m:r>
                    <m:t>a</m:t>
                  </m:r>
                  <m:r>
                    <m:t>s</m:t>
                  </m:r>
                  <m:r>
                    <m:t>e</m:t>
                  </m:r>
                </m:sub>
              </m:sSub>
            </m:num>
            <m:den>
              <m:sSub>
                <m:e>
                  <m:r>
                    <m:t>S</m:t>
                  </m:r>
                </m:e>
                <m:sub>
                  <m:r>
                    <m:t>b</m:t>
                  </m:r>
                  <m:r>
                    <m:t>a</m:t>
                  </m:r>
                  <m:r>
                    <m:t>s</m:t>
                  </m:r>
                  <m:r>
                    <m:t>e</m:t>
                  </m:r>
                </m:sub>
              </m:sSub>
              <m:r>
                <m:rPr>
                  <m:sty m:val="p"/>
                </m:rPr>
                <m:t>+</m:t>
              </m:r>
              <m:sSub>
                <m:e>
                  <m:r>
                    <m:t>β</m:t>
                  </m:r>
                </m:e>
                <m:sub>
                  <m:r>
                    <m:t>v</m:t>
                  </m:r>
                  <m:r>
                    <m:t>0</m:t>
                  </m:r>
                </m:sub>
              </m:sSub>
              <m:r>
                <m:rPr>
                  <m:sty m:val="p"/>
                </m:rPr>
                <m:t>⋅</m:t>
              </m:r>
              <m:sSub>
                <m:e>
                  <m:r>
                    <m:t>v</m:t>
                  </m:r>
                </m:e>
                <m:sub>
                  <m:r>
                    <m:t>0</m:t>
                  </m:r>
                </m:sub>
              </m:sSub>
              <m:r>
                <m:rPr>
                  <m:sty m:val="p"/>
                </m:rPr>
                <m:t>+</m:t>
              </m:r>
              <m:sSub>
                <m:e>
                  <m:r>
                    <m:t>β</m:t>
                  </m:r>
                </m:e>
                <m:sub>
                  <m:r>
                    <m:t>i</m:t>
                  </m:r>
                  <m:r>
                    <m:t>n</m:t>
                  </m:r>
                  <m:r>
                    <m:t>v</m:t>
                  </m:r>
                  <m:r>
                    <m:t>b</m:t>
                  </m:r>
                </m:sub>
              </m:sSub>
              <m:r>
                <m:rPr>
                  <m:sty m:val="p"/>
                </m:rPr>
                <m:t>⋅</m:t>
              </m:r>
              <m:f>
                <m:fPr>
                  <m:type m:val="bar"/>
                </m:fPr>
                <m:num>
                  <m:r>
                    <m:t>1</m:t>
                  </m:r>
                </m:num>
                <m:den>
                  <m:r>
                    <m:t>b</m:t>
                  </m:r>
                </m:den>
              </m:f>
            </m:den>
          </m:f>
        </m:oMath>
      </m:oMathPara>
    </w:p>
    <w:p>
      <w:pPr>
        <w:pStyle w:val="FirstParagraph"/>
      </w:pPr>
      <w:r>
        <w:t xml:space="preserve">This derivation explicitly demonstrates that soils with a faster desorption velocity (</w:t>
      </w:r>
      <m:oMath>
        <m:sSub>
          <m:e>
            <m:r>
              <m:t>v</m:t>
            </m:r>
          </m:e>
          <m:sub>
            <m:r>
              <m:t>0</m:t>
            </m:r>
          </m:sub>
        </m:sSub>
      </m:oMath>
      <w:r>
        <w:t xml:space="preserve">) or stronger buffer power (</w:t>
      </w:r>
      <m:oMath>
        <m:r>
          <m:t>1</m:t>
        </m:r>
        <m:r>
          <m:rPr>
            <m:sty m:val="p"/>
          </m:rPr>
          <m:t>/</m:t>
        </m:r>
        <m:r>
          <m:t>b</m:t>
        </m:r>
      </m:oMath>
      <w:r>
        <w:t xml:space="preserve">) create a steeper accumulation slope (</w:t>
      </w:r>
      <m:oMath>
        <m:sSub>
          <m:e>
            <m:r>
              <m:t>S</m:t>
            </m:r>
          </m:e>
          <m:sub>
            <m:r>
              <m:t>a</m:t>
            </m:r>
            <m:r>
              <m:t>c</m:t>
            </m:r>
            <m:r>
              <m:t>c</m:t>
            </m:r>
          </m:sub>
        </m:sSub>
      </m:oMath>
      <w:r>
        <w:t xml:space="preserve">), inherently reducing the</w:t>
      </w:r>
      <w:r>
        <w:t xml:space="preserve"> </w:t>
      </w:r>
      <m:oMath>
        <m:sSub>
          <m:e>
            <m:r>
              <m:t>P</m:t>
            </m:r>
          </m:e>
          <m:sub>
            <m:r>
              <m:t>c</m:t>
            </m:r>
            <m:r>
              <m:t>r</m:t>
            </m:r>
            <m:r>
              <m:t>i</m:t>
            </m:r>
            <m:r>
              <m:t>t</m:t>
            </m:r>
          </m:sub>
        </m:sSub>
      </m:oMath>
      <w:r>
        <w:t xml:space="preserve"> </w:t>
      </w:r>
      <w:r>
        <w:t xml:space="preserve">required in the soil to safely buffer the crop against stress.</w:t>
      </w:r>
    </w:p>
    <w:p>
      <w:pPr>
        <w:pStyle w:val="BodyText"/>
      </w:pPr>
      <w:r>
        <w:rPr>
          <w:b/>
          <w:bCs/>
        </w:rPr>
        <w:t xml:space="preserve">3. The Relative Uptake Paradigm (The Mass-Transfer Limit)</w:t>
      </w:r>
      <w:r>
        <w:t xml:space="preserve"> </w:t>
      </w:r>
      <w:r>
        <w:t xml:space="preserve">While yield integrates the entire season, instantaneous phosphorus uptake is strictly governed by Michaelis-Menten kinetics at the root surface. Defining a critical threshold as the STP required to reach an</w:t>
      </w:r>
      <w:r>
        <w:t xml:space="preserve"> </w:t>
      </w:r>
      <m:oMath>
        <m:r>
          <m:t>x</m:t>
        </m:r>
        <m:r>
          <m:rPr>
            <m:sty m:val="p"/>
          </m:rPr>
          <m:t>%</m:t>
        </m:r>
      </m:oMath>
      <w:r>
        <w:t xml:space="preserve"> </w:t>
      </w:r>
      <w:r>
        <w:t xml:space="preserve">relative uptake target (</w:t>
      </w:r>
      <m:oMath>
        <m:sSub>
          <m:e>
            <m:r>
              <m:t>q</m:t>
            </m:r>
          </m:e>
          <m:sub>
            <m:r>
              <m:t>u</m:t>
            </m:r>
            <m:r>
              <m:t>p</m:t>
            </m:r>
          </m:sub>
        </m:sSub>
      </m:oMath>
      <w:r>
        <w:t xml:space="preserve">) yields a direct relationship with the effective half-saturation constant (</w:t>
      </w:r>
      <m:oMath>
        <m:sSub>
          <m:e>
            <m:r>
              <m:t>K</m:t>
            </m:r>
          </m:e>
          <m:sub>
            <m:r>
              <m:t>e</m:t>
            </m:r>
            <m:r>
              <m:t>f</m:t>
            </m:r>
            <m:r>
              <m:t>f</m:t>
            </m:r>
          </m:sub>
        </m:sSub>
      </m:oMath>
      <w:r>
        <w:t xml:space="preserve">):</w:t>
      </w:r>
    </w:p>
    <w:p>
      <w:pPr>
        <w:pStyle w:val="BodyText"/>
      </w:pPr>
      <m:oMathPara>
        <m:oMathParaPr>
          <m:jc m:val="center"/>
        </m:oMathParaPr>
        <m:oMath>
          <m:sSub>
            <m:e>
              <m:r>
                <m:t>q</m:t>
              </m:r>
            </m:e>
            <m:sub>
              <m:r>
                <m:t>u</m:t>
              </m:r>
              <m:r>
                <m:t>p</m:t>
              </m:r>
            </m:sub>
          </m:sSub>
          <m:r>
            <m:rPr>
              <m:sty m:val="p"/>
            </m:rPr>
            <m:t>=</m:t>
          </m:r>
          <m:f>
            <m:fPr>
              <m:type m:val="bar"/>
            </m:fPr>
            <m:num>
              <m:sSub>
                <m:e>
                  <m:r>
                    <m:t>P</m:t>
                  </m:r>
                </m:e>
                <m:sub>
                  <m:r>
                    <m:t>c</m:t>
                  </m:r>
                  <m:r>
                    <m:t>r</m:t>
                  </m:r>
                  <m:r>
                    <m:t>i</m:t>
                  </m:r>
                  <m:r>
                    <m:t>t</m:t>
                  </m:r>
                  <m:r>
                    <m:rPr>
                      <m:sty m:val="p"/>
                    </m:rPr>
                    <m:t>_</m:t>
                  </m:r>
                  <m:r>
                    <m:t>u</m:t>
                  </m:r>
                  <m:r>
                    <m:t>p</m:t>
                  </m:r>
                </m:sub>
              </m:sSub>
            </m:num>
            <m:den>
              <m:sSub>
                <m:e>
                  <m:r>
                    <m:t>K</m:t>
                  </m:r>
                </m:e>
                <m:sub>
                  <m:r>
                    <m:t>e</m:t>
                  </m:r>
                  <m:r>
                    <m:t>f</m:t>
                  </m:r>
                  <m:r>
                    <m:t>f</m:t>
                  </m:r>
                </m:sub>
              </m:sSub>
              <m:r>
                <m:rPr>
                  <m:sty m:val="p"/>
                </m:rPr>
                <m:t>+</m:t>
              </m:r>
              <m:sSub>
                <m:e>
                  <m:r>
                    <m:t>P</m:t>
                  </m:r>
                </m:e>
                <m:sub>
                  <m:r>
                    <m:t>c</m:t>
                  </m:r>
                  <m:r>
                    <m:t>r</m:t>
                  </m:r>
                  <m:r>
                    <m:t>i</m:t>
                  </m:r>
                  <m:r>
                    <m:t>t</m:t>
                  </m:r>
                  <m:r>
                    <m:rPr>
                      <m:sty m:val="p"/>
                    </m:rPr>
                    <m:t>_</m:t>
                  </m:r>
                  <m:r>
                    <m:t>u</m:t>
                  </m:r>
                  <m:r>
                    <m:t>p</m:t>
                  </m:r>
                </m:sub>
              </m:sSub>
            </m:den>
          </m:f>
          <m:r>
            <m:rPr>
              <m:sty m:val="p"/>
            </m:rPr>
            <m:t>⟹</m:t>
          </m:r>
          <m:sSub>
            <m:e>
              <m:r>
                <m:t>P</m:t>
              </m:r>
            </m:e>
            <m:sub>
              <m:r>
                <m:t>c</m:t>
              </m:r>
              <m:r>
                <m:t>r</m:t>
              </m:r>
              <m:r>
                <m:t>i</m:t>
              </m:r>
              <m:r>
                <m:t>t</m:t>
              </m:r>
              <m:r>
                <m:rPr>
                  <m:sty m:val="p"/>
                </m:rPr>
                <m:t>_</m:t>
              </m:r>
              <m:r>
                <m:t>u</m:t>
              </m:r>
              <m:r>
                <m:t>p</m:t>
              </m:r>
            </m:sub>
          </m:sSub>
          <m:r>
            <m:rPr>
              <m:sty m:val="p"/>
            </m:rPr>
            <m:t>=</m:t>
          </m:r>
          <m:d>
            <m:dPr>
              <m:begChr m:val="("/>
              <m:sepChr m:val=""/>
              <m:endChr m:val=")"/>
              <m:grow/>
            </m:dPr>
            <m:e>
              <m:f>
                <m:fPr>
                  <m:type m:val="bar"/>
                </m:fPr>
                <m:num>
                  <m:sSub>
                    <m:e>
                      <m:r>
                        <m:t>q</m:t>
                      </m:r>
                    </m:e>
                    <m:sub>
                      <m:r>
                        <m:t>u</m:t>
                      </m:r>
                      <m:r>
                        <m:t>p</m:t>
                      </m:r>
                    </m:sub>
                  </m:sSub>
                </m:num>
                <m:den>
                  <m:r>
                    <m:t>1</m:t>
                  </m:r>
                  <m:r>
                    <m:rPr>
                      <m:sty m:val="p"/>
                    </m:rPr>
                    <m:t>−</m:t>
                  </m:r>
                  <m:sSub>
                    <m:e>
                      <m:r>
                        <m:t>q</m:t>
                      </m:r>
                    </m:e>
                    <m:sub>
                      <m:r>
                        <m:t>u</m:t>
                      </m:r>
                      <m:r>
                        <m:t>p</m:t>
                      </m:r>
                    </m:sub>
                  </m:sSub>
                </m:den>
              </m:f>
            </m:e>
          </m:d>
          <m:sSub>
            <m:e>
              <m:r>
                <m:t>K</m:t>
              </m:r>
            </m:e>
            <m:sub>
              <m:r>
                <m:t>e</m:t>
              </m:r>
              <m:r>
                <m:t>f</m:t>
              </m:r>
              <m:r>
                <m:t>f</m:t>
              </m:r>
            </m:sub>
          </m:sSub>
        </m:oMath>
      </m:oMathPara>
    </w:p>
    <w:p>
      <w:pPr>
        <w:pStyle w:val="FirstParagraph"/>
      </w:pPr>
      <w:r>
        <w:t xml:space="preserve">Where</w:t>
      </w:r>
      <w:r>
        <w:t xml:space="preserve"> </w:t>
      </w:r>
      <m:oMath>
        <m:sSub>
          <m:e>
            <m:r>
              <m:t>K</m:t>
            </m:r>
          </m:e>
          <m:sub>
            <m:r>
              <m:t>e</m:t>
            </m:r>
            <m:r>
              <m:t>f</m:t>
            </m:r>
            <m:r>
              <m:t>f</m:t>
            </m:r>
          </m:sub>
        </m:sSub>
      </m:oMath>
      <w:r>
        <w:t xml:space="preserve"> </w:t>
      </w:r>
      <w:r>
        <w:t xml:space="preserve">structurally expands upon the base crop affinity (</w:t>
      </w:r>
      <m:oMath>
        <m:sSub>
          <m:e>
            <m:r>
              <m:t>K</m:t>
            </m:r>
          </m:e>
          <m:sub>
            <m:r>
              <m:t>m</m:t>
            </m:r>
          </m:sub>
        </m:sSub>
      </m:oMath>
      <w:r>
        <w:t xml:space="preserve">) via the same physical kinetic bottlenecks identified in the field data.</w:t>
      </w:r>
    </w:p>
    <w:p>
      <w:r>
        <w:br w:type="page"/>
      </w:r>
    </w:p>
    <w:p>
      <w:r>
        <w:br w:type="page"/>
      </w:r>
    </w:p>
    <w:p>
      <w:r>
        <w:br w:type="page"/>
      </w:r>
    </w:p>
    <w:p>
      <w:r>
        <w:br w:type="page"/>
      </w:r>
    </w:p>
    <w:p>
      <w:r>
        <w:br w:type="page"/>
      </w:r>
    </w:p>
    <w:bookmarkEnd w:id="36"/>
    <w:bookmarkEnd w:id="37"/>
    <w:bookmarkEnd w:id="38"/>
    <w:bookmarkStart w:id="73" w:name="references"/>
    <w:p>
      <w:pPr>
        <w:pStyle w:val="Heading1"/>
      </w:pPr>
      <w:r>
        <w:t xml:space="preserve">3. References</w:t>
      </w:r>
    </w:p>
    <w:bookmarkStart w:id="72" w:name="refs"/>
    <w:bookmarkStart w:id="39" w:name="ref-Atkins2011Physical"/>
    <w:p>
      <w:pPr>
        <w:pStyle w:val="Bibliography"/>
      </w:pPr>
      <w:r>
        <w:t xml:space="preserve">Atkins, P., &amp; Paula, J. de. (2011).</w:t>
      </w:r>
      <w:r>
        <w:t xml:space="preserve"> </w:t>
      </w:r>
      <w:r>
        <w:rPr>
          <w:i/>
          <w:iCs/>
        </w:rPr>
        <w:t xml:space="preserve">Physical chemistry for the life sciences</w:t>
      </w:r>
      <w:r>
        <w:t xml:space="preserve"> </w:t>
      </w:r>
      <w:r>
        <w:t xml:space="preserve">(2nd ed.). Oxford University Press.</w:t>
      </w:r>
    </w:p>
    <w:bookmarkEnd w:id="39"/>
    <w:bookmarkStart w:id="40" w:name="ref-barber1981soil"/>
    <w:p>
      <w:pPr>
        <w:pStyle w:val="Bibliography"/>
      </w:pPr>
      <w:r>
        <w:t xml:space="preserve">Barber, S. A., &amp; Cushman, J. H. (1981). Nitrogen uptake model for agronomic crops. In I. K. Iskandar (Ed.),</w:t>
      </w:r>
      <w:r>
        <w:t xml:space="preserve"> </w:t>
      </w:r>
      <w:r>
        <w:rPr>
          <w:i/>
          <w:iCs/>
        </w:rPr>
        <w:t xml:space="preserve">Modeling wastewater renovation land treatment</w:t>
      </w:r>
      <w:r>
        <w:t xml:space="preserve"> </w:t>
      </w:r>
      <w:r>
        <w:t xml:space="preserve">(pp. 382–409). Wiley.</w:t>
      </w:r>
    </w:p>
    <w:bookmarkEnd w:id="40"/>
    <w:bookmarkStart w:id="42"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41">
        <w:r>
          <w:rPr>
            <w:rStyle w:val="Hyperlink"/>
          </w:rPr>
          <w:t xml:space="preserve">https://github.com/lme4/lme4/</w:t>
        </w:r>
      </w:hyperlink>
    </w:p>
    <w:bookmarkEnd w:id="42"/>
    <w:bookmarkStart w:id="43"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43"/>
    <w:bookmarkStart w:id="45" w:name="Xf7dc4d42c841a7ea55a6e6d36d9aceaa1d3b516"/>
    <w:p>
      <w:pPr>
        <w:pStyle w:val="Bibliography"/>
      </w:pPr>
      <w:r>
        <w:t xml:space="preserve">Demaria, P., Flisch, R., Frossard, E., &amp; Sinaj, S. (2005). Exchangeability of phosphate extracted by four chemical methods.</w:t>
      </w:r>
      <w:r>
        <w:t xml:space="preserve"> </w:t>
      </w:r>
      <w:r>
        <w:rPr>
          <w:i/>
          <w:iCs/>
        </w:rPr>
        <w:t xml:space="preserve">Z. Pflanzenernähr. Bodenk.</w:t>
      </w:r>
      <w:r>
        <w:t xml:space="preserve">,</w:t>
      </w:r>
      <w:r>
        <w:t xml:space="preserve"> </w:t>
      </w:r>
      <w:r>
        <w:rPr>
          <w:i/>
          <w:iCs/>
        </w:rPr>
        <w:t xml:space="preserve">168</w:t>
      </w:r>
      <w:r>
        <w:t xml:space="preserve">(1), 89–93.</w:t>
      </w:r>
      <w:r>
        <w:t xml:space="preserve"> </w:t>
      </w:r>
      <w:hyperlink r:id="rId44">
        <w:r>
          <w:rPr>
            <w:rStyle w:val="Hyperlink"/>
          </w:rPr>
          <w:t xml:space="preserve">https://doi.org/10.1002/jpln.200421463</w:t>
        </w:r>
      </w:hyperlink>
    </w:p>
    <w:bookmarkEnd w:id="45"/>
    <w:bookmarkStart w:id="46" w:name="ref-fardeau1996dynamics"/>
    <w:p>
      <w:pPr>
        <w:pStyle w:val="Bibliography"/>
      </w:pPr>
      <w:r>
        <w:t xml:space="preserve">Fardeau, J.-C. (1996). Dynamics of phosphate in soils. An isotopic outlook.</w:t>
      </w:r>
      <w:r>
        <w:t xml:space="preserve"> </w:t>
      </w:r>
      <w:r>
        <w:rPr>
          <w:i/>
          <w:iCs/>
        </w:rPr>
        <w:t xml:space="preserve">Fertilizer Research</w:t>
      </w:r>
      <w:r>
        <w:t xml:space="preserve">,</w:t>
      </w:r>
      <w:r>
        <w:t xml:space="preserve"> </w:t>
      </w:r>
      <w:r>
        <w:rPr>
          <w:i/>
          <w:iCs/>
        </w:rPr>
        <w:t xml:space="preserve">45</w:t>
      </w:r>
      <w:r>
        <w:t xml:space="preserve">, 91–100.</w:t>
      </w:r>
    </w:p>
    <w:bookmarkEnd w:id="46"/>
    <w:bookmarkStart w:id="47"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47"/>
    <w:bookmarkStart w:id="48"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48"/>
    <w:bookmarkStart w:id="49" w:name="ref-freundlich1906over"/>
    <w:p>
      <w:pPr>
        <w:pStyle w:val="Bibliography"/>
      </w:pPr>
      <w:r>
        <w:t xml:space="preserve">Freundlich, H. (1906).</w:t>
      </w:r>
      <w:r>
        <w:t xml:space="preserve"> </w:t>
      </w:r>
      <w:r>
        <w:t xml:space="preserve">Ü</w:t>
      </w:r>
      <w:r>
        <w:t xml:space="preserve">ber die</w:t>
      </w:r>
      <w:r>
        <w:t xml:space="preserve"> </w:t>
      </w:r>
      <w:r>
        <w:t xml:space="preserve">A</w:t>
      </w:r>
      <w:r>
        <w:t xml:space="preserve">dsorption in</w:t>
      </w:r>
      <w:r>
        <w:t xml:space="preserve"> </w:t>
      </w:r>
      <w:r>
        <w:t xml:space="preserve">L</w:t>
      </w:r>
      <w:r>
        <w:t xml:space="preserve">ö</w:t>
      </w:r>
      <w:r>
        <w:t xml:space="preserve">sungen.</w:t>
      </w:r>
      <w:r>
        <w:t xml:space="preserve"> </w:t>
      </w:r>
      <w:r>
        <w:rPr>
          <w:i/>
          <w:iCs/>
        </w:rPr>
        <w:t xml:space="preserve">Zeitschrift f</w:t>
      </w:r>
      <w:r>
        <w:rPr>
          <w:i/>
          <w:iCs/>
        </w:rPr>
        <w:t xml:space="preserve">ü</w:t>
      </w:r>
      <w:r>
        <w:rPr>
          <w:i/>
          <w:iCs/>
        </w:rPr>
        <w:t xml:space="preserve">r Physikalische Chemie</w:t>
      </w:r>
      <w:r>
        <w:t xml:space="preserve">,</w:t>
      </w:r>
      <w:r>
        <w:t xml:space="preserve"> </w:t>
      </w:r>
      <w:r>
        <w:rPr>
          <w:i/>
          <w:iCs/>
        </w:rPr>
        <w:t xml:space="preserve">57</w:t>
      </w:r>
      <w:r>
        <w:t xml:space="preserve">(1), 385–470.</w:t>
      </w:r>
    </w:p>
    <w:bookmarkEnd w:id="49"/>
    <w:bookmarkStart w:id="51"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50">
        <w:r>
          <w:rPr>
            <w:rStyle w:val="Hyperlink"/>
          </w:rPr>
          <w:t xml:space="preserve">https://doi.org/10.2134/jeq2000.00472425002900010003x</w:t>
        </w:r>
      </w:hyperlink>
    </w:p>
    <w:bookmarkEnd w:id="51"/>
    <w:bookmarkStart w:id="53" w:name="X38fa0a79e8f0a7b3ab2535150ec29e7582342dc"/>
    <w:p>
      <w:pPr>
        <w:pStyle w:val="Bibliography"/>
      </w:pPr>
      <w:r>
        <w:t xml:space="preserve">Gallet, A., Flisch, R., Ryser, J.-P., Frossard, E., &amp; Sinaj, S. (2003). Effect of phosphate fertilization on crop yield and soil phosphorus status.</w:t>
      </w:r>
      <w:r>
        <w:t xml:space="preserve"> </w:t>
      </w:r>
      <w:r>
        <w:rPr>
          <w:i/>
          <w:iCs/>
        </w:rPr>
        <w:t xml:space="preserve">Z. Pflanzenernähr. Bodenk.</w:t>
      </w:r>
      <w:r>
        <w:t xml:space="preserve">,</w:t>
      </w:r>
      <w:r>
        <w:t xml:space="preserve"> </w:t>
      </w:r>
      <w:r>
        <w:rPr>
          <w:i/>
          <w:iCs/>
        </w:rPr>
        <w:t xml:space="preserve">166</w:t>
      </w:r>
      <w:r>
        <w:t xml:space="preserve">(5), 568–578.</w:t>
      </w:r>
      <w:r>
        <w:t xml:space="preserve"> </w:t>
      </w:r>
      <w:hyperlink r:id="rId52">
        <w:r>
          <w:rPr>
            <w:rStyle w:val="Hyperlink"/>
          </w:rPr>
          <w:t xml:space="preserve">https://doi.org/10.1002/jpln.200321081</w:t>
        </w:r>
      </w:hyperlink>
    </w:p>
    <w:bookmarkEnd w:id="53"/>
    <w:bookmarkStart w:id="55"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54">
        <w:r>
          <w:rPr>
            <w:rStyle w:val="Hyperlink"/>
          </w:rPr>
          <w:t xml:space="preserve">https://doi.org/10.1016/j.scitotenv.2020.143453</w:t>
        </w:r>
      </w:hyperlink>
    </w:p>
    <w:bookmarkEnd w:id="55"/>
    <w:bookmarkStart w:id="57" w:name="X1245ac8cfcb683262562e2095e9fdd5e8dce350"/>
    <w:p>
      <w:pPr>
        <w:pStyle w:val="Bibliography"/>
      </w:pPr>
      <w:r>
        <w:t xml:space="preserve">Jordan-Meille, L., Rubæk, G. H., Ehlert, P. A. I., Genot, V., Hofman, G., Goulding, K., Recknagel, J., Provolo, G., &amp; Barraclough, P. (2012). An overview of fertilizer-</w:t>
      </w:r>
      <w:r>
        <w:t xml:space="preserve">P</w:t>
      </w:r>
      <w:r>
        <w:t xml:space="preserve"> </w:t>
      </w:r>
      <w:r>
        <w:t xml:space="preserve">recommendations in</w:t>
      </w:r>
      <w:r>
        <w:t xml:space="preserve"> </w:t>
      </w:r>
      <w:r>
        <w:t xml:space="preserve">Europe</w:t>
      </w:r>
      <w:r>
        <w:t xml:space="preserve">: Soil testing, calibration and fertilizer recommendations.</w:t>
      </w:r>
      <w:r>
        <w:t xml:space="preserve"> </w:t>
      </w:r>
      <w:r>
        <w:rPr>
          <w:i/>
          <w:iCs/>
        </w:rPr>
        <w:t xml:space="preserve">Soil Use and Management</w:t>
      </w:r>
      <w:r>
        <w:t xml:space="preserve">,</w:t>
      </w:r>
      <w:r>
        <w:t xml:space="preserve"> </w:t>
      </w:r>
      <w:r>
        <w:rPr>
          <w:i/>
          <w:iCs/>
        </w:rPr>
        <w:t xml:space="preserve">28</w:t>
      </w:r>
      <w:r>
        <w:t xml:space="preserve">(4), 419–435.</w:t>
      </w:r>
      <w:r>
        <w:t xml:space="preserve"> </w:t>
      </w:r>
      <w:hyperlink r:id="rId56">
        <w:r>
          <w:rPr>
            <w:rStyle w:val="Hyperlink"/>
          </w:rPr>
          <w:t xml:space="preserve">https://doi.org/10.1111/j.1475-2743.2012.00453.x</w:t>
        </w:r>
      </w:hyperlink>
    </w:p>
    <w:bookmarkEnd w:id="57"/>
    <w:bookmarkStart w:id="58" w:name="ref-lookman1995geostatistical"/>
    <w:p>
      <w:pPr>
        <w:pStyle w:val="Bibliography"/>
      </w:pPr>
      <w:r>
        <w:t xml:space="preserve">Lookman, R., Desmet, J., Grobet, P., Merckx, R., &amp; Vlassak, K. (1995). A geostatistical assessment of the regional distribution of phosphate sorption capacity parameters (feox and alox) in northern belgium.</w:t>
      </w:r>
      <w:r>
        <w:t xml:space="preserve"> </w:t>
      </w:r>
      <w:r>
        <w:rPr>
          <w:i/>
          <w:iCs/>
        </w:rPr>
        <w:t xml:space="preserve">Geoderma</w:t>
      </w:r>
      <w:r>
        <w:t xml:space="preserve">,</w:t>
      </w:r>
      <w:r>
        <w:t xml:space="preserve"> </w:t>
      </w:r>
      <w:r>
        <w:rPr>
          <w:i/>
          <w:iCs/>
        </w:rPr>
        <w:t xml:space="preserve">66</w:t>
      </w:r>
      <w:r>
        <w:t xml:space="preserve">(3-4), 285–296.</w:t>
      </w:r>
    </w:p>
    <w:bookmarkEnd w:id="58"/>
    <w:bookmarkStart w:id="59" w:name="ref-michaelis1913kinetik"/>
    <w:p>
      <w:pPr>
        <w:pStyle w:val="Bibliography"/>
      </w:pPr>
      <w:r>
        <w:t xml:space="preserve">Michaelis, L., &amp; Menten, M. L. (1913). Die</w:t>
      </w:r>
      <w:r>
        <w:t xml:space="preserve"> </w:t>
      </w:r>
      <w:r>
        <w:t xml:space="preserve">K</w:t>
      </w:r>
      <w:r>
        <w:t xml:space="preserve">inetik der</w:t>
      </w:r>
      <w:r>
        <w:t xml:space="preserve"> </w:t>
      </w:r>
      <w:r>
        <w:t xml:space="preserve">I</w:t>
      </w:r>
      <w:r>
        <w:t xml:space="preserve">nvertinwirkung.</w:t>
      </w:r>
      <w:r>
        <w:t xml:space="preserve"> </w:t>
      </w:r>
      <w:r>
        <w:rPr>
          <w:i/>
          <w:iCs/>
        </w:rPr>
        <w:t xml:space="preserve">Biochemische Zeitschrift</w:t>
      </w:r>
      <w:r>
        <w:t xml:space="preserve">,</w:t>
      </w:r>
      <w:r>
        <w:t xml:space="preserve"> </w:t>
      </w:r>
      <w:r>
        <w:rPr>
          <w:i/>
          <w:iCs/>
        </w:rPr>
        <w:t xml:space="preserve">49</w:t>
      </w:r>
      <w:r>
        <w:t xml:space="preserve">, 333–369.</w:t>
      </w:r>
    </w:p>
    <w:bookmarkEnd w:id="59"/>
    <w:bookmarkStart w:id="60" w:name="ref-Minton2001Macromolecular"/>
    <w:p>
      <w:pPr>
        <w:pStyle w:val="Bibliography"/>
      </w:pPr>
      <w:r>
        <w:t xml:space="preserve">Minton, A. P. (2001). The influence of macromolecular crowding and macromolecular confinement on biochemical reactions in physiological media.</w:t>
      </w:r>
      <w:r>
        <w:t xml:space="preserve"> </w:t>
      </w:r>
      <w:r>
        <w:rPr>
          <w:i/>
          <w:iCs/>
        </w:rPr>
        <w:t xml:space="preserve">Journal of Biological Chemistry</w:t>
      </w:r>
      <w:r>
        <w:t xml:space="preserve">,</w:t>
      </w:r>
      <w:r>
        <w:t xml:space="preserve"> </w:t>
      </w:r>
      <w:r>
        <w:rPr>
          <w:i/>
          <w:iCs/>
        </w:rPr>
        <w:t xml:space="preserve">276</w:t>
      </w:r>
      <w:r>
        <w:t xml:space="preserve">(14), 10577–10580.</w:t>
      </w:r>
    </w:p>
    <w:bookmarkEnd w:id="60"/>
    <w:bookmarkStart w:id="61"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61"/>
    <w:bookmarkStart w:id="62" w:name="ref-Olsen1954"/>
    <w:p>
      <w:pPr>
        <w:pStyle w:val="Bibliography"/>
      </w:pPr>
      <w:r>
        <w:t xml:space="preserve">Olsen, S. R., Cole, C. V., Watanabe, F. S., &amp; Dean, L. A. (1954).</w:t>
      </w:r>
      <w:r>
        <w:t xml:space="preserve"> </w:t>
      </w:r>
      <w:r>
        <w:rPr>
          <w:i/>
          <w:iCs/>
        </w:rPr>
        <w:t xml:space="preserve">Estimation of available phosphorus in soils by extraction with sodium bicarbonate</w:t>
      </w:r>
      <w:r>
        <w:t xml:space="preserve"> </w:t>
      </w:r>
      <w:r>
        <w:t xml:space="preserve">(Circular No. 939). United States Department of Agriculture.</w:t>
      </w:r>
    </w:p>
    <w:bookmarkEnd w:id="62"/>
    <w:bookmarkStart w:id="64"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63">
        <w:r>
          <w:rPr>
            <w:rStyle w:val="Hyperlink"/>
          </w:rPr>
          <w:t xml:space="preserve">https://svn.r-project.org/R-packages/trunk/nlme/</w:t>
        </w:r>
      </w:hyperlink>
    </w:p>
    <w:bookmarkEnd w:id="64"/>
    <w:bookmarkStart w:id="66"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65">
        <w:r>
          <w:rPr>
            <w:rStyle w:val="Hyperlink"/>
          </w:rPr>
          <w:t xml:space="preserve">https://doi.org/10.32614/R.manuals</w:t>
        </w:r>
      </w:hyperlink>
    </w:p>
    <w:bookmarkEnd w:id="66"/>
    <w:bookmarkStart w:id="67" w:name="ref-schwertmann1964differenzierung"/>
    <w:p>
      <w:pPr>
        <w:pStyle w:val="Bibliography"/>
      </w:pPr>
      <w:r>
        <w:t xml:space="preserve">Schwertmann, U. (1964). Differenzierung der</w:t>
      </w:r>
      <w:r>
        <w:t xml:space="preserve"> </w:t>
      </w:r>
      <w:r>
        <w:t xml:space="preserve">E</w:t>
      </w:r>
      <w:r>
        <w:t xml:space="preserve">isenoxide des</w:t>
      </w:r>
      <w:r>
        <w:t xml:space="preserve"> </w:t>
      </w:r>
      <w:r>
        <w:t xml:space="preserve">B</w:t>
      </w:r>
      <w:r>
        <w:t xml:space="preserve">odens durch</w:t>
      </w:r>
      <w:r>
        <w:t xml:space="preserve"> </w:t>
      </w:r>
      <w:r>
        <w:t xml:space="preserve">E</w:t>
      </w:r>
      <w:r>
        <w:t xml:space="preserve">xtraktion mit</w:t>
      </w:r>
      <w:r>
        <w:t xml:space="preserve"> </w:t>
      </w:r>
      <w:r>
        <w:t xml:space="preserve">A</w:t>
      </w:r>
      <w:r>
        <w:t xml:space="preserve">mmoniumoxalat-l</w:t>
      </w:r>
      <w:r>
        <w:t xml:space="preserve">ö</w:t>
      </w:r>
      <w:r>
        <w:t xml:space="preserve">sung.</w:t>
      </w:r>
      <w:r>
        <w:t xml:space="preserve"> </w:t>
      </w:r>
      <w:r>
        <w:rPr>
          <w:i/>
          <w:iCs/>
        </w:rPr>
        <w:t xml:space="preserve">Zeitschrift f</w:t>
      </w:r>
      <w:r>
        <w:rPr>
          <w:i/>
          <w:iCs/>
        </w:rPr>
        <w:t xml:space="preserve">ü</w:t>
      </w:r>
      <w:r>
        <w:rPr>
          <w:i/>
          <w:iCs/>
        </w:rPr>
        <w:t xml:space="preserve">r Pflanzenern</w:t>
      </w:r>
      <w:r>
        <w:rPr>
          <w:i/>
          <w:iCs/>
        </w:rPr>
        <w:t xml:space="preserve">ä</w:t>
      </w:r>
      <w:r>
        <w:rPr>
          <w:i/>
          <w:iCs/>
        </w:rPr>
        <w:t xml:space="preserve">hrung, D</w:t>
      </w:r>
      <w:r>
        <w:rPr>
          <w:i/>
          <w:iCs/>
        </w:rPr>
        <w:t xml:space="preserve">ü</w:t>
      </w:r>
      <w:r>
        <w:rPr>
          <w:i/>
          <w:iCs/>
        </w:rPr>
        <w:t xml:space="preserve">ngung, Bodenkunde</w:t>
      </w:r>
      <w:r>
        <w:t xml:space="preserve">,</w:t>
      </w:r>
      <w:r>
        <w:t xml:space="preserve"> </w:t>
      </w:r>
      <w:r>
        <w:rPr>
          <w:i/>
          <w:iCs/>
        </w:rPr>
        <w:t xml:space="preserve">105</w:t>
      </w:r>
      <w:r>
        <w:t xml:space="preserve">(3), 194–202.</w:t>
      </w:r>
    </w:p>
    <w:bookmarkEnd w:id="67"/>
    <w:bookmarkStart w:id="68"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68"/>
    <w:bookmarkStart w:id="70" w:name="X747b38ba1bef72edfca648ace56cfd869b50dba"/>
    <w:p>
      <w:pPr>
        <w:pStyle w:val="Bibliography"/>
      </w:pPr>
      <w:r>
        <w:t xml:space="preserve">Steinfurth, K., Börjesson, G., Denoroy, P., Eichler-Löbermann, B., Gans, W., Heyn, J., Hirte, J., Huyghebaert, B., Jouany, C., Koch, D., Merbach, I., Mokry, M., Mollier, A., Morel, C., Panten, K., Peiter, E., Poulton, P. R., Reitz, T., Rubæk, G. H., … Buczko, U.</w:t>
      </w:r>
      <w:r>
        <w:t xml:space="preserve"> (2022). Thresholds of target phosphorus fertility classes in</w:t>
      </w:r>
      <w:r>
        <w:t xml:space="preserve"> </w:t>
      </w:r>
      <w:r>
        <w:t xml:space="preserve">European</w:t>
      </w:r>
      <w:r>
        <w:t xml:space="preserve"> </w:t>
      </w:r>
      <w:r>
        <w:t xml:space="preserve">fertilizer recommendations in relation to critical soil test phosphorus values derived from the analysis of 55</w:t>
      </w:r>
      <w:r>
        <w:t xml:space="preserve"> </w:t>
      </w:r>
      <w:r>
        <w:t xml:space="preserve">European</w:t>
      </w:r>
      <w:r>
        <w:t xml:space="preserve"> </w:t>
      </w:r>
      <w:r>
        <w:t xml:space="preserve">long-term field experiments.</w:t>
      </w:r>
      <w:r>
        <w:t xml:space="preserve"> </w:t>
      </w:r>
      <w:r>
        <w:rPr>
          <w:i/>
          <w:iCs/>
        </w:rPr>
        <w:t xml:space="preserve">Agriculture, Ecosystems &amp; Environment</w:t>
      </w:r>
      <w:r>
        <w:t xml:space="preserve">,</w:t>
      </w:r>
      <w:r>
        <w:t xml:space="preserve"> </w:t>
      </w:r>
      <w:r>
        <w:rPr>
          <w:i/>
          <w:iCs/>
        </w:rPr>
        <w:t xml:space="preserve">332</w:t>
      </w:r>
      <w:r>
        <w:t xml:space="preserve">, 107926.</w:t>
      </w:r>
      <w:r>
        <w:t xml:space="preserve"> </w:t>
      </w:r>
      <w:hyperlink r:id="rId69">
        <w:r>
          <w:rPr>
            <w:rStyle w:val="Hyperlink"/>
          </w:rPr>
          <w:t xml:space="preserve">https://doi.org/10.1016/j.agee.2022.107926</w:t>
        </w:r>
      </w:hyperlink>
    </w:p>
    <w:bookmarkEnd w:id="70"/>
    <w:bookmarkStart w:id="71"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71"/>
    <w:bookmarkEnd w:id="72"/>
    <w:p>
      <w:r>
        <w:br w:type="page"/>
      </w:r>
    </w:p>
    <w:p>
      <w:r>
        <w:br w:type="page"/>
      </w:r>
    </w:p>
    <w:bookmarkEnd w:id="73"/>
    <w:bookmarkStart w:id="79" w:name="Xc02b1095fe035d2f218bf14431ef63629f299b5"/>
    <w:p>
      <w:pPr>
        <w:pStyle w:val="Heading1"/>
      </w:pPr>
      <w:r>
        <w:t xml:space="preserve">4. Appendix: Thermodynamic Correction of</w:t>
      </w:r>
      <w:r>
        <w:t xml:space="preserve"> </w:t>
      </w:r>
      <m:oMath>
        <m:sSub>
          <m:e>
            <m:r>
              <m:t>P</m:t>
            </m:r>
          </m:e>
          <m:sub>
            <m:r>
              <m:t>C</m:t>
            </m:r>
            <m:sSub>
              <m:e>
                <m:r>
                  <m:t>O</m:t>
                </m:r>
              </m:e>
              <m:sub>
                <m:r>
                  <m:t>2</m:t>
                </m:r>
              </m:sub>
            </m:sSub>
          </m:sub>
        </m:sSub>
      </m:oMath>
      <w:r>
        <w:t xml:space="preserve"> </w:t>
      </w:r>
      <w:r>
        <w:t xml:space="preserve">Extractions</w:t>
      </w:r>
    </w:p>
    <w:bookmarkStart w:id="74" w:name="Xdd52081602f5faa9508128f35f776531d43bf68"/>
    <w:p>
      <w:pPr>
        <w:pStyle w:val="Heading2"/>
      </w:pPr>
      <w:r>
        <w:t xml:space="preserve">4.1 A.1. Intrinsic Ionic Strength of the</w:t>
      </w:r>
      <w:r>
        <w:t xml:space="preserve"> </w:t>
      </w:r>
      <m:oMath>
        <m:sSub>
          <m:e>
            <m:r>
              <m:t>P</m:t>
            </m:r>
          </m:e>
          <m:sub>
            <m:r>
              <m:t>C</m:t>
            </m:r>
            <m:sSub>
              <m:e>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C</m:t>
            </m:r>
            <m:sSub>
              <m:e>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C</m:t>
            </m:r>
            <m:sSub>
              <m:e>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C</m:t>
            </m:r>
            <m:sSub>
              <m:e>
                <m:r>
                  <m:t>O</m:t>
                </m:r>
              </m:e>
              <m:sub>
                <m:r>
                  <m:t>2</m:t>
                </m:r>
              </m:sub>
            </m:sSub>
          </m:sub>
        </m:sSub>
      </m:oMath>
      <w:r>
        <w:t xml:space="preserve"> </w:t>
      </w:r>
      <w:r>
        <w:t xml:space="preserve">extract is primarily dictated by the dissolved soluble salts of the specific soil being analyzed.</w:t>
      </w:r>
    </w:p>
    <w:bookmarkEnd w:id="74"/>
    <w:bookmarkStart w:id="75" w:name="X8ef57afce3e26af86625f37a3880dd9c4114bfc"/>
    <w:p>
      <w:pPr>
        <w:pStyle w:val="Heading2"/>
      </w:pPr>
      <w:r>
        <w:t xml:space="preserve">4.2 A.2. Justification for the Davies Equation</w:t>
      </w:r>
    </w:p>
    <w:p>
      <w:pPr>
        <w:pStyle w:val="FirstParagraph"/>
      </w:pPr>
      <w:r>
        <w:t xml:space="preserve">Because the</w:t>
      </w:r>
      <w:r>
        <w:t xml:space="preserve"> </w:t>
      </w:r>
      <m:oMath>
        <m:sSub>
          <m:e>
            <m:r>
              <m:t>P</m:t>
            </m:r>
          </m:e>
          <m:sub>
            <m:r>
              <m:t>C</m:t>
            </m:r>
            <m:sSub>
              <m:e>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fundamental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75"/>
    <w:bookmarkStart w:id="78" w:name="X7cfd2e40ece616de93c98fe743f64dd11c88404"/>
    <w:p>
      <w:pPr>
        <w:pStyle w:val="Heading2"/>
      </w:pPr>
      <w:r>
        <w:t xml:space="preserve">4.3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C</m:t>
            </m:r>
            <m:sSub>
              <m:e>
                <m:r>
                  <m:t>O</m:t>
                </m:r>
              </m:e>
              <m:sub>
                <m:r>
                  <m:t>2</m:t>
                </m:r>
              </m:sub>
            </m:sSub>
          </m:sub>
        </m:sSub>
      </m:oMath>
      <w:r>
        <w:t xml:space="preserve"> </w:t>
      </w:r>
      <w:r>
        <w:t xml:space="preserve">concentrations are converted to thermodynamic activities using the following sequential steps:</w:t>
      </w:r>
    </w:p>
    <w:p>
      <w:pPr>
        <w:pStyle w:val="Compact"/>
        <w:numPr>
          <w:ilvl w:val="0"/>
          <w:numId w:val="1007"/>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7"/>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7"/>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corrected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76">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77">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df" /><Relationship Type="http://schemas.openxmlformats.org/officeDocument/2006/relationships/image" Id="rId21" Target="media/rId21.pdf" /><Relationship Type="http://schemas.openxmlformats.org/officeDocument/2006/relationships/hyperlink" Id="rId52" Target="https://doi.org/10.1002/jpln.200321081" TargetMode="External" /><Relationship Type="http://schemas.openxmlformats.org/officeDocument/2006/relationships/hyperlink" Id="rId44" Target="https://doi.org/10.1002/jpln.200421463" TargetMode="External" /><Relationship Type="http://schemas.openxmlformats.org/officeDocument/2006/relationships/hyperlink" Id="rId69" Target="https://doi.org/10.1016/j.agee.2022.107926" TargetMode="External" /><Relationship Type="http://schemas.openxmlformats.org/officeDocument/2006/relationships/hyperlink" Id="rId54" Target="https://doi.org/10.1016/j.scitotenv.2020.143453" TargetMode="External" /><Relationship Type="http://schemas.openxmlformats.org/officeDocument/2006/relationships/hyperlink" Id="rId56" Target="https://doi.org/10.1111/j.1475-2743.2012.00453.x" TargetMode="External" /><Relationship Type="http://schemas.openxmlformats.org/officeDocument/2006/relationships/hyperlink" Id="rId50" Target="https://doi.org/10.2134/jeq2000.00472425002900010003x" TargetMode="External" /><Relationship Type="http://schemas.openxmlformats.org/officeDocument/2006/relationships/hyperlink" Id="rId65" Target="https://doi.org/10.32614/R.manuals" TargetMode="External" /><Relationship Type="http://schemas.openxmlformats.org/officeDocument/2006/relationships/hyperlink" Id="rId41" Target="https://github.com/lme4/lme4/" TargetMode="External" /><Relationship Type="http://schemas.openxmlformats.org/officeDocument/2006/relationships/hyperlink" Id="rId76" Target="https://github.com/ptochosgeorgos/Article-P-desorption-kinetics" TargetMode="External" /><Relationship Type="http://schemas.openxmlformats.org/officeDocument/2006/relationships/hyperlink" Id="rId77" Target="https://ptochosgeorgos.github.io/Article-P-desorption-kinetics/" TargetMode="External" /><Relationship Type="http://schemas.openxmlformats.org/officeDocument/2006/relationships/hyperlink" Id="rId63" Target="https://svn.r-project.org/R-packages/trunk/nlme/" TargetMode="External" /></Relationships>
</file>

<file path=word/_rels/footnotes.xml.rels><?xml version="1.0" encoding="UTF-8"?><Relationships xmlns="http://schemas.openxmlformats.org/package/2006/relationships"><Relationship Type="http://schemas.openxmlformats.org/officeDocument/2006/relationships/hyperlink" Id="rId52" Target="https://doi.org/10.1002/jpln.200321081" TargetMode="External" /><Relationship Type="http://schemas.openxmlformats.org/officeDocument/2006/relationships/hyperlink" Id="rId44" Target="https://doi.org/10.1002/jpln.200421463" TargetMode="External" /><Relationship Type="http://schemas.openxmlformats.org/officeDocument/2006/relationships/hyperlink" Id="rId69" Target="https://doi.org/10.1016/j.agee.2022.107926" TargetMode="External" /><Relationship Type="http://schemas.openxmlformats.org/officeDocument/2006/relationships/hyperlink" Id="rId54" Target="https://doi.org/10.1016/j.scitotenv.2020.143453" TargetMode="External" /><Relationship Type="http://schemas.openxmlformats.org/officeDocument/2006/relationships/hyperlink" Id="rId56" Target="https://doi.org/10.1111/j.1475-2743.2012.00453.x" TargetMode="External" /><Relationship Type="http://schemas.openxmlformats.org/officeDocument/2006/relationships/hyperlink" Id="rId50" Target="https://doi.org/10.2134/jeq2000.00472425002900010003x" TargetMode="External" /><Relationship Type="http://schemas.openxmlformats.org/officeDocument/2006/relationships/hyperlink" Id="rId65" Target="https://doi.org/10.32614/R.manuals" TargetMode="External" /><Relationship Type="http://schemas.openxmlformats.org/officeDocument/2006/relationships/hyperlink" Id="rId41" Target="https://github.com/lme4/lme4/" TargetMode="External" /><Relationship Type="http://schemas.openxmlformats.org/officeDocument/2006/relationships/hyperlink" Id="rId76" Target="https://github.com/ptochosgeorgos/Article-P-desorption-kinetics" TargetMode="External" /><Relationship Type="http://schemas.openxmlformats.org/officeDocument/2006/relationships/hyperlink" Id="rId77" Target="https://ptochosgeorgos.github.io/Article-P-desorption-kinetics/" TargetMode="External" /><Relationship Type="http://schemas.openxmlformats.org/officeDocument/2006/relationships/hyperlink" Id="rId63" Target="https://svn.r-project.org/R-packages/trunk/nl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dc:creator>
  <cp:keywords/>
  <dcterms:created xsi:type="dcterms:W3CDTF">2026-08-27T10:06:27Z</dcterms:created>
  <dcterms:modified xsi:type="dcterms:W3CDTF">2026-08-27T10:06:27Z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lways_allow_html">
    <vt:lpwstr>True</vt:lpwstr>
  </property>
  <property fmtid="{D5CDD505-2E9C-101B-9397-08002B2CF9AE}" pid="5" name="authors">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sl">
    <vt:lpwstr>apa.csl</vt:lpwstr>
  </property>
  <property fmtid="{D5CDD505-2E9C-101B-9397-08002B2CF9AE}" pid="11" name="date">
    <vt:lpwstr>2026-08-27</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