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2026-04-14</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17"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elegant, measuring them in natural soils is notoriously difficult.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 critical analytical flaw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obliterates the native ionic strength of the soil. Consequently, while these methods successfully quantify the physical mass of phosphorus (</w:t>
      </w:r>
      <m:oMath>
        <m:r>
          <m:t>Q</m:t>
        </m:r>
      </m:oMath>
      <w:r>
        <w:t xml:space="preserve">), they destroy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w:t>
      </w:r>
      <w:r>
        <w:t xml:space="preserve"> </w:t>
      </w:r>
      <w:r>
        <w:t xml:space="preserve">“masked”</w:t>
      </w:r>
      <w:r>
        <w:t xml:space="preserve"> </w:t>
      </w:r>
      <w:r>
        <w:t xml:space="preserve">from the root. To resolve this, raw stoichiometric concentrations derived from water extractions must be mathematically corrected via the Davies equation to yield true thermodynamic activity.</w:t>
      </w:r>
    </w:p>
    <w:bookmarkEnd w:id="11"/>
    <w:bookmarkStart w:id="15"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novel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r>
        <w:rPr>
          <w:b/>
          <w:bCs/>
        </w:rPr>
        <w:t xml:space="preserve">?@tbl-terminology</w:t>
      </w:r>
      <w:r>
        <w:t xml:space="preserve"> </w:t>
      </w:r>
      <w:r>
        <w:t xml:space="preserve">maps this transition from classic, operationally defined static tests to the proposed thermodynamic and kinetic parameters.</w:t>
      </w:r>
    </w:p>
    <w:p>
      <w:pPr>
        <w:pStyle w:val="TableCaption"/>
      </w:pPr>
      <w:r>
        <w:t xml:space="preserve">Conceptual mapping of fundamental phosphorus availability factors to their analytical proxies.</w:t>
      </w:r>
    </w:p>
    <w:tbl>
      <w:tblPr>
        <w:tblStyle w:val="Table"/>
        <w:tblW w:type="pct" w:w="5000"/>
        <w:tblLayout w:type="fixed"/>
        <w:tblLook w:firstRow="1" w:lastRow="0" w:firstColumn="0" w:lastColumn="0" w:noHBand="0" w:noVBand="0" w:val="0020"/>
        <w:tblCaption w:val="Conceptual mapping of fundamental phosphorus availability factors to their analytical proxies."/>
      </w:tblPr>
      <w:tblGrid>
        <w:gridCol w:w="1980"/>
        <w:gridCol w:w="1980"/>
        <w:gridCol w:w="1980"/>
        <w:gridCol w:w="1980"/>
      </w:tblGrid>
      <w:tr>
        <w:trPr>
          <w:tblHeader w:val="on"/>
        </w:trPr>
        <w:tc>
          <w:tcPr/>
          <w:p>
            <w:pPr>
              <w:pStyle w:val="Compact"/>
              <w:jc w:val="left"/>
            </w:pPr>
            <w:r>
              <w:t xml:space="preserve">Approach / Framework</w:t>
            </w:r>
          </w:p>
        </w:tc>
        <w:tc>
          <w:tcPr/>
          <w:p>
            <w:pPr>
              <w:pStyle w:val="Compact"/>
              <w:jc w:val="left"/>
            </w:pPr>
            <w:r>
              <w:t xml:space="preserve">Intensity Factor</w:t>
            </w:r>
          </w:p>
        </w:tc>
        <w:tc>
          <w:tcPr/>
          <w:p>
            <w:pPr>
              <w:pStyle w:val="Compact"/>
              <w:jc w:val="left"/>
            </w:pPr>
            <w:r>
              <w:t xml:space="preserve">Quantity (Capacity) Factor</w:t>
            </w:r>
          </w:p>
        </w:tc>
        <w:tc>
          <w:tcPr/>
          <w:p>
            <w:pPr>
              <w:pStyle w:val="Compact"/>
              <w:jc w:val="left"/>
            </w:pPr>
            <w:r>
              <w:t xml:space="preserve">Kinetic Factor</w:t>
            </w:r>
          </w:p>
        </w:tc>
      </w:tr>
      <w:tr>
        <w:tc>
          <w:tcPr/>
          <w:p>
            <w:pPr>
              <w:pStyle w:val="Compact"/>
              <w:jc w:val="left"/>
            </w:pPr>
            <w:r>
              <w:rPr>
                <w:b/>
                <w:bCs/>
              </w:rPr>
              <w:t xml:space="preserve">Theoretical Concept (</w:t>
            </w:r>
            <w:r>
              <w:rPr>
                <w:b/>
                <w:bCs/>
              </w:rPr>
              <w:t xml:space="preserve">Frossard et al. (2000)</w:t>
            </w:r>
            <w:r>
              <w:rPr>
                <w:b/>
                <w:bCs/>
              </w:rPr>
              <w:t xml:space="preserve">)</w:t>
            </w:r>
          </w:p>
        </w:tc>
        <w:tc>
          <w:tcPr/>
          <w:p>
            <w:pPr>
              <w:pStyle w:val="Compact"/>
              <w:jc w:val="left"/>
            </w:pPr>
            <w:r>
              <w:t xml:space="preserve">Chemical activity of P in the soil solution</w:t>
            </w:r>
          </w:p>
        </w:tc>
        <w:tc>
          <w:tcPr/>
          <w:p>
            <w:pPr>
              <w:pStyle w:val="Compact"/>
              <w:jc w:val="left"/>
            </w:pPr>
            <w:r>
              <w:t xml:space="preserve">Pool of solid-phase P that can replenish the solution</w:t>
            </w:r>
          </w:p>
        </w:tc>
        <w:tc>
          <w:tcPr/>
          <w:p>
            <w:pPr>
              <w:pStyle w:val="Compact"/>
              <w:jc w:val="left"/>
            </w:pPr>
            <w:r>
              <w:t xml:space="preserve">Rate of P transfer from the solid to the liquid phase</w:t>
            </w:r>
          </w:p>
        </w:tc>
      </w:tr>
      <w:tr>
        <w:tc>
          <w:tcPr/>
          <w:p>
            <w:pPr>
              <w:pStyle w:val="Compact"/>
              <w:jc w:val="left"/>
            </w:pPr>
            <w:r>
              <w:rPr>
                <w:b/>
                <w:bCs/>
              </w:rPr>
              <w:t xml:space="preserve">Traditional / Static Proxy (GRUD)</w:t>
            </w:r>
          </w:p>
        </w:tc>
        <w:tc>
          <w:tcPr/>
          <w:p>
            <w:pPr>
              <w:pStyle w:val="Compact"/>
              <w:jc w:val="left"/>
            </w:pPr>
            <m:oMath>
              <m:sSub>
                <m:e>
                  <m:r>
                    <m:t>P</m:t>
                  </m:r>
                </m:e>
                <m:sub>
                  <m:r>
                    <m:t>C</m:t>
                  </m:r>
                  <m:sSub>
                    <m:e>
                      <m:r>
                        <m:t>O</m:t>
                      </m:r>
                    </m:e>
                    <m:sub>
                      <m:r>
                        <m:t>2</m:t>
                      </m:r>
                    </m:sub>
                  </m:sSub>
                </m:sub>
              </m:sSub>
            </m:oMath>
            <w:r>
              <w:t xml:space="preserve"> </w:t>
            </w:r>
            <w:r>
              <w:t xml:space="preserve">(Raw Water-soluble Concentration)</w:t>
            </w:r>
          </w:p>
        </w:tc>
        <w:tc>
          <w:tcPr/>
          <w:p>
            <w:pPr>
              <w:pStyle w:val="Compact"/>
              <w:jc w:val="left"/>
            </w:pPr>
            <m:oMath>
              <m:sSub>
                <m:e>
                  <m:r>
                    <m:t>P</m:t>
                  </m:r>
                </m:e>
                <m:sub>
                  <m:r>
                    <m:t>A</m:t>
                  </m:r>
                  <m:r>
                    <m:t>A</m:t>
                  </m:r>
                  <m:r>
                    <m:t>E</m:t>
                  </m:r>
                  <m:r>
                    <m:t>10</m:t>
                  </m:r>
                </m:sub>
              </m:sSub>
            </m:oMath>
            <w:r>
              <w:t xml:space="preserve"> </w:t>
            </w:r>
            <w:r>
              <w:t xml:space="preserve">(Chelate-extractable Mass)</w:t>
            </w:r>
          </w:p>
        </w:tc>
        <w:tc>
          <w:tcPr/>
          <w:p>
            <w:pPr>
              <w:pStyle w:val="Compact"/>
              <w:jc w:val="left"/>
            </w:pPr>
            <w:r>
              <w:rPr>
                <w:i/>
                <w:iCs/>
              </w:rPr>
              <w:t xml:space="preserve">Not Measured</w:t>
            </w:r>
          </w:p>
        </w:tc>
      </w:tr>
      <w:tr>
        <w:tc>
          <w:tcPr/>
          <w:p>
            <w:pPr>
              <w:pStyle w:val="Compact"/>
              <w:jc w:val="left"/>
            </w:pPr>
            <w:r>
              <w:rPr>
                <w:b/>
                <w:bCs/>
              </w:rPr>
              <w:t xml:space="preserve">Dynamic / Thermodynamic Proxy (This Study)</w:t>
            </w:r>
          </w:p>
        </w:tc>
        <w:tc>
          <w:tcPr/>
          <w:p>
            <w:pPr>
              <w:pStyle w:val="Compact"/>
              <w:jc w:val="left"/>
            </w:pPr>
            <w:r>
              <w:t xml:space="preserve">Maximum Thermodynamic Activity (</w:t>
            </w:r>
            <m:oMath>
              <m:sSub>
                <m:e>
                  <m:r>
                    <m:t>a</m:t>
                  </m:r>
                </m:e>
                <m:sub>
                  <m:r>
                    <m:t>m</m:t>
                  </m:r>
                  <m:r>
                    <m:t>a</m:t>
                  </m:r>
                  <m:r>
                    <m:t>x</m:t>
                  </m:r>
                </m:sub>
              </m:sSub>
            </m:oMath>
            <w:r>
              <w:t xml:space="preserve">)</w:t>
            </w:r>
          </w:p>
        </w:tc>
        <w:tc>
          <w:tcPr/>
          <w:p>
            <w:pPr>
              <w:pStyle w:val="Compact"/>
              <w:jc w:val="left"/>
            </w:pPr>
            <m:oMath>
              <m:sSub>
                <m:e>
                  <m:r>
                    <m:t>P</m:t>
                  </m:r>
                </m:e>
                <m:sub>
                  <m:r>
                    <m:t>A</m:t>
                  </m:r>
                  <m:r>
                    <m:t>A</m:t>
                  </m:r>
                  <m:r>
                    <m:t>E</m:t>
                  </m:r>
                  <m:r>
                    <m:t>10</m:t>
                  </m:r>
                </m:sub>
              </m:sSub>
            </m:oMath>
          </w:p>
        </w:tc>
        <w:tc>
          <w:tcPr/>
          <w:p>
            <w:pPr>
              <w:pStyle w:val="Compact"/>
              <w:jc w:val="left"/>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p>
      <w:pPr>
        <w:pStyle w:val="SourceCode"/>
      </w:pPr>
      <w:r>
        <w:rPr>
          <w:rStyle w:val="CommentTok"/>
        </w:rPr>
        <w:t xml:space="preserve">#|echo: false</w:t>
      </w:r>
      <w:r>
        <w:br/>
      </w:r>
      <w:r>
        <w:br/>
      </w:r>
      <w:r>
        <w:rPr>
          <w:rStyle w:val="FunctionTok"/>
        </w:rPr>
        <w:t xml:space="preserve">library</w:t>
      </w:r>
      <w:r>
        <w:rPr>
          <w:rStyle w:val="NormalTok"/>
        </w:rPr>
        <w:t xml:space="preserve">(magick)</w:t>
      </w:r>
    </w:p>
    <w:p>
      <w:pPr>
        <w:pStyle w:val="SourceCode"/>
      </w:pPr>
      <w:r>
        <w:rPr>
          <w:rStyle w:val="VerbatimChar"/>
        </w:rPr>
        <w:t xml:space="preserve">Linking to ImageMagick 6.9.12.98</w:t>
      </w:r>
      <w:r>
        <w:br/>
      </w:r>
      <w:r>
        <w:rPr>
          <w:rStyle w:val="VerbatimChar"/>
        </w:rPr>
        <w:t xml:space="preserve">Enabled features: fontconfig, freetype, fftw, heic, lcms, pango, raw, webp, x11</w:t>
      </w:r>
      <w:r>
        <w:br/>
      </w:r>
      <w:r>
        <w:rPr>
          <w:rStyle w:val="VerbatimChar"/>
        </w:rPr>
        <w:t xml:space="preserve">Disabled features: cairo, ghostscript, rsvg</w:t>
      </w:r>
    </w:p>
    <w:p>
      <w:pPr>
        <w:pStyle w:val="SourceCode"/>
      </w:pPr>
      <w:r>
        <w:rPr>
          <w:rStyle w:val="VerbatimChar"/>
        </w:rPr>
        <w:t xml:space="preserve">Using 4 threads</w:t>
      </w:r>
    </w:p>
    <w:p>
      <w:pPr>
        <w:pStyle w:val="SourceCode"/>
      </w:pPr>
      <w:r>
        <w:rPr>
          <w:rStyle w:val="FunctionTok"/>
        </w:rPr>
        <w:t xml:space="preserve">library</w:t>
      </w:r>
      <w:r>
        <w:rPr>
          <w:rStyle w:val="NormalTok"/>
        </w:rPr>
        <w:t xml:space="preserve">(pdftools)</w:t>
      </w:r>
    </w:p>
    <w:p>
      <w:pPr>
        <w:pStyle w:val="SourceCode"/>
      </w:pPr>
      <w:r>
        <w:rPr>
          <w:rStyle w:val="VerbatimChar"/>
        </w:rPr>
        <w:t xml:space="preserve">Using poppler version 24.02.0</w:t>
      </w:r>
    </w:p>
    <w:p>
      <w:pPr>
        <w:pStyle w:val="CaptionedFigure"/>
      </w:pPr>
      <w:r>
        <w:drawing>
          <wp:inline>
            <wp:extent cx="5334000" cy="3315034"/>
            <wp:effectExtent b="0" l="0" r="0" t="0"/>
            <wp:docPr descr="Conceptual model of the rhizosphere phosphorus cycle." title="" id="13" name="Picture"/>
            <a:graphic>
              <a:graphicData uri="http://schemas.openxmlformats.org/drawingml/2006/picture">
                <pic:pic>
                  <pic:nvPicPr>
                    <pic:cNvPr descr="index_files/figure-docx/unnamed-chunk-2-1.png" id="14" name="Picture"/>
                    <pic:cNvPicPr>
                      <a:picLocks noChangeArrowheads="1" noChangeAspect="1"/>
                    </pic:cNvPicPr>
                  </pic:nvPicPr>
                  <pic:blipFill>
                    <a:blip r:embed="rId12"/>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5"/>
    <w:bookmarkStart w:id="16"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superior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rigorously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6"/>
    <w:bookmarkEnd w:id="17"/>
    <w:bookmarkStart w:id="31" w:name="sec-materials-and-methods"/>
    <w:p>
      <w:pPr>
        <w:pStyle w:val="Heading1"/>
      </w:pPr>
      <w:r>
        <w:t xml:space="preserve">2. Materials and Methods</w:t>
      </w:r>
    </w:p>
    <w:bookmarkStart w:id="18"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18"/>
    <w:bookmarkStart w:id="20"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19"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9"/>
          <w:p/>
        </w:tc>
      </w:tr>
    </w:tbl>
    <w:p>
      <w:pPr>
        <w:pStyle w:val="BodyText"/>
      </w:pPr>
      <w:r>
        <w:t xml:space="preserve">Soil samples for this thesis were collected in the year 2022 from the topsoil layer (0-20 cm).</w:t>
      </w:r>
    </w:p>
    <w:bookmarkEnd w:id="20"/>
    <w:bookmarkStart w:id="23"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1"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(Van Veldhoven &amp; Mannaerts, 1987)</w:t>
      </w:r>
      <w:r>
        <w:t xml:space="preserve">.</w:t>
      </w:r>
    </w:p>
    <w:bookmarkEnd w:id="21"/>
    <w:bookmarkStart w:id="22"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highly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neutralizes pedochemical variances caused by differing native background salinities and pH levels across the STYCS sites, converting the raw data into a universal thermodynamic Intensity (</w:t>
      </w:r>
      <m:oMath>
        <m:r>
          <m:t>I</m:t>
        </m:r>
      </m:oMath>
      <w:r>
        <w:t xml:space="preserve">) metric.</w:t>
      </w:r>
    </w:p>
    <w:bookmarkEnd w:id="22"/>
    <w:bookmarkEnd w:id="23"/>
    <w:bookmarkStart w:id="30"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2022)</w:t>
      </w:r>
      <w:r>
        <w:t xml:space="preserve">. Primary packages included</w:t>
      </w:r>
      <w:r>
        <w:t xml:space="preserve"> </w:t>
      </w:r>
      <w:r>
        <w:rPr>
          <w:rStyle w:val="VerbatimChar"/>
        </w:rPr>
        <w:t xml:space="preserve">nlme</w:t>
      </w:r>
      <w:r>
        <w:t xml:space="preserve"> </w:t>
      </w:r>
      <w:r>
        <w:t xml:space="preserve">(Pinheiro et al., 2022)</w:t>
      </w:r>
      <w:r>
        <w:t xml:space="preserve"> </w:t>
      </w:r>
      <w:r>
        <w:t xml:space="preserve">for non-linear kinetic modeling,</w:t>
      </w:r>
      <w:r>
        <w:t xml:space="preserve"> </w:t>
      </w:r>
      <w:r>
        <w:rPr>
          <w:rStyle w:val="VerbatimChar"/>
        </w:rPr>
        <w:t xml:space="preserve">lme4</w:t>
      </w:r>
      <w:r>
        <w:t xml:space="preserve"> </w:t>
      </w:r>
      <w:r>
        <w:t xml:space="preserve">(Bates et al., 2015)</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4"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4"/>
    <w:bookmarkStart w:id="25"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5"/>
    <w:bookmarkStart w:id="26"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highly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mathematically erasing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highly stable metric representing the percentage of the crop’s long-term biological potential achieved.</w:t>
      </w:r>
    </w:p>
    <w:bookmarkEnd w:id="26"/>
    <w:bookmarkStart w:id="28"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27" w:name="tbl-variables-updated"/>
          <w:p>
            <w:pPr>
              <w:jc w:val="center"/>
            </w:pPr>
            <w:pPr>
              <w:jc w:val="left"/>
              <w:spacing w:before="200"/>
              <w:pStyle w:val="ImageCaption"/>
            </w:pPr>
            <w:r>
              <w:t xml:space="preserve">Table 2: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27"/>
          <w:p/>
        </w:tc>
      </w:tr>
    </w:tbl>
    <w:bookmarkEnd w:id="28"/>
    <w:bookmarkStart w:id="29"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29"/>
    <w:bookmarkEnd w:id="30"/>
    <w:bookmarkEnd w:id="31"/>
    <w:bookmarkStart w:id="49" w:name="references"/>
    <w:p>
      <w:pPr>
        <w:pStyle w:val="Heading1"/>
      </w:pPr>
      <w:r>
        <w:t xml:space="preserve">3. References</w:t>
      </w:r>
    </w:p>
    <w:bookmarkStart w:id="48" w:name="refs"/>
    <w:bookmarkStart w:id="33"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32">
        <w:r>
          <w:rPr>
            <w:rStyle w:val="Hyperlink"/>
          </w:rPr>
          <w:t xml:space="preserve">https://doi.org/10.18637/jss.v067.i01</w:t>
        </w:r>
      </w:hyperlink>
    </w:p>
    <w:bookmarkEnd w:id="33"/>
    <w:bookmarkStart w:id="34"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34"/>
    <w:bookmarkStart w:id="35"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5"/>
    <w:bookmarkStart w:id="36"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36"/>
    <w:bookmarkStart w:id="38"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37">
        <w:r>
          <w:rPr>
            <w:rStyle w:val="Hyperlink"/>
          </w:rPr>
          <w:t xml:space="preserve">https://doi.org/10.2134/jeq2000.00472425002900010003x</w:t>
        </w:r>
      </w:hyperlink>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1"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41"/>
    <w:bookmarkStart w:id="43"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42">
        <w:r>
          <w:rPr>
            <w:rStyle w:val="Hyperlink"/>
          </w:rPr>
          <w:t xml:space="preserve">https://CRAN.R-project.org/package=nlme</w:t>
        </w:r>
      </w:hyperlink>
    </w:p>
    <w:bookmarkEnd w:id="43"/>
    <w:bookmarkStart w:id="45"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44">
        <w:r>
          <w:rPr>
            <w:rStyle w:val="Hyperlink"/>
          </w:rPr>
          <w:t xml:space="preserve">https://www.R-project.org/</w:t>
        </w:r>
      </w:hyperlink>
    </w:p>
    <w:bookmarkEnd w:id="45"/>
    <w:bookmarkStart w:id="46"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46"/>
    <w:bookmarkStart w:id="47"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47"/>
    <w:bookmarkEnd w:id="48"/>
    <w:p>
      <w:r>
        <w:br w:type="page"/>
      </w:r>
    </w:p>
    <w:p>
      <w:r>
        <w:br w:type="page"/>
      </w:r>
    </w:p>
    <w:bookmarkEnd w:id="49"/>
    <w:bookmarkStart w:id="55"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50"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rendering absolute thermodynamic comparisons invalid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infinitesimally small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overwhelmingly dictated by the dissolved soluble salts of the specific soil being analyzed.</w:t>
      </w:r>
    </w:p>
    <w:bookmarkEnd w:id="50"/>
    <w:bookmarkStart w:id="51"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gold standard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51"/>
    <w:bookmarkStart w:id="54"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52">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3">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42" Target="https://CRAN.R-project.org/package=nlme" TargetMode="External" /><Relationship Type="http://schemas.openxmlformats.org/officeDocument/2006/relationships/hyperlink" Id="rId39" Target="https://doi.org/10.1016/j.scitotenv.2020.143453" TargetMode="External" /><Relationship Type="http://schemas.openxmlformats.org/officeDocument/2006/relationships/hyperlink" Id="rId32" Target="https://doi.org/10.18637/jss.v067.i01" TargetMode="External" /><Relationship Type="http://schemas.openxmlformats.org/officeDocument/2006/relationships/hyperlink" Id="rId37" Target="https://doi.org/10.2134/jeq2000.00472425002900010003x" TargetMode="External" /><Relationship Type="http://schemas.openxmlformats.org/officeDocument/2006/relationships/hyperlink" Id="rId52" Target="https://github.com/ptochosgeorgos/Article-P-desorption-kinetics" TargetMode="External" /><Relationship Type="http://schemas.openxmlformats.org/officeDocument/2006/relationships/hyperlink" Id="rId53" Target="https://ptochosgeorgos.github.io/Article-P-desorption-kinetics/" TargetMode="External" /><Relationship Type="http://schemas.openxmlformats.org/officeDocument/2006/relationships/hyperlink" Id="rId4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2" Target="https://CRAN.R-project.org/package=nlme" TargetMode="External" /><Relationship Type="http://schemas.openxmlformats.org/officeDocument/2006/relationships/hyperlink" Id="rId39" Target="https://doi.org/10.1016/j.scitotenv.2020.143453" TargetMode="External" /><Relationship Type="http://schemas.openxmlformats.org/officeDocument/2006/relationships/hyperlink" Id="rId32" Target="https://doi.org/10.18637/jss.v067.i01" TargetMode="External" /><Relationship Type="http://schemas.openxmlformats.org/officeDocument/2006/relationships/hyperlink" Id="rId37" Target="https://doi.org/10.2134/jeq2000.00472425002900010003x" TargetMode="External" /><Relationship Type="http://schemas.openxmlformats.org/officeDocument/2006/relationships/hyperlink" Id="rId52" Target="https://github.com/ptochosgeorgos/Article-P-desorption-kinetics" TargetMode="External" /><Relationship Type="http://schemas.openxmlformats.org/officeDocument/2006/relationships/hyperlink" Id="rId53" Target="https://ptochosgeorgos.github.io/Article-P-desorption-kinetics/" TargetMode="External" /><Relationship Type="http://schemas.openxmlformats.org/officeDocument/2006/relationships/hyperlink" Id="rId4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2026-04-14T15:11:18Z</dcterms:created>
  <dcterms:modified xsi:type="dcterms:W3CDTF">2026-04-14T15:11:18Z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2026-04-14</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