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24.png" ContentType="image/png"/>
  <Override PartName="/word/media/rId9.png" ContentType="image/png"/>
  <Override PartName="/word/media/rId14.png" ContentType="image/png"/>
  <Override PartName="/word/media/rId35.png" ContentType="image/png"/>
  <Override PartName="/word/media/rId4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results"/>
    <w:p>
      <w:pPr>
        <w:pStyle w:val="Heading1"/>
      </w:pPr>
      <w:r>
        <w:t xml:space="preserve">1. Results</w:t>
      </w:r>
    </w:p>
    <w:p>
      <w:pPr>
        <w:pStyle w:val="SourceCode"/>
      </w:pPr>
      <w:r>
        <w:rPr>
          <w:rStyle w:val="NormalTok"/>
        </w:rPr>
        <w:t xml:space="preserve">create_coef_table </w:t>
      </w:r>
      <w:r>
        <w:rPr>
          <w:rStyle w:val="OtherTok"/>
        </w:rPr>
        <w:t xml:space="preserve">&lt;-</w:t>
      </w:r>
      <w:r>
        <w:rPr>
          <w:rStyle w:val="NormalTok"/>
        </w:rPr>
        <w:t xml:space="preserve"> </w:t>
      </w:r>
      <w:r>
        <w:rPr>
          <w:rStyle w:val="ControlFlowTok"/>
        </w:rPr>
        <w:t xml:space="preserve">function</w:t>
      </w:r>
      <w:r>
        <w:rPr>
          <w:rStyle w:val="NormalTok"/>
        </w:rPr>
        <w:t xml:space="preserve">(lmer_models, </w:t>
      </w:r>
      <w:r>
        <w:br/>
      </w:r>
      <w:r>
        <w:rPr>
          <w:rStyle w:val="NormalTok"/>
        </w:rPr>
        <w:t xml:space="preserve">                              </w:t>
      </w:r>
      <w:r>
        <w:rPr>
          <w:rStyle w:val="AttributeTok"/>
        </w:rPr>
        <w:t xml:space="preserve">covariate_order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covariate_labels =</w:t>
      </w:r>
      <w:r>
        <w:rPr>
          <w:rStyle w:val="NormalTok"/>
        </w:rPr>
        <w:t xml:space="preserve"> </w:t>
      </w:r>
      <w:r>
        <w:rPr>
          <w:rStyle w:val="ConstantTok"/>
        </w:rPr>
        <w:t xml:space="preserve">NULL</w:t>
      </w:r>
      <w:r>
        <w:rPr>
          <w:rStyle w:val="NormalTok"/>
        </w:rPr>
        <w:t xml:space="preserve">, </w:t>
      </w:r>
      <w:r>
        <w:rPr>
          <w:rStyle w:val="CommentTok"/>
        </w:rPr>
        <w:t xml:space="preserve"># NEU: Benannter Vektor für Zeilennamen</w:t>
      </w:r>
      <w:r>
        <w:br/>
      </w:r>
      <w:r>
        <w:rPr>
          <w:rStyle w:val="NormalTok"/>
        </w:rPr>
        <w:t xml:space="preserve">                              </w:t>
      </w:r>
      <w:r>
        <w:rPr>
          <w:rStyle w:val="AttributeTok"/>
        </w:rPr>
        <w:t xml:space="preserve">model_labels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descriptor =</w:t>
      </w:r>
      <w:r>
        <w:rPr>
          <w:rStyle w:val="NormalTok"/>
        </w:rPr>
        <w:t xml:space="preserve"> </w:t>
      </w:r>
      <w:r>
        <w:rPr>
          <w:rStyle w:val="StringTok"/>
        </w:rPr>
        <w:t xml:space="preserve">"Response"</w:t>
      </w:r>
      <w:r>
        <w:rPr>
          <w:rStyle w:val="NormalTok"/>
        </w:rPr>
        <w:t xml:space="preserve">) {   </w:t>
      </w:r>
      <w:r>
        <w:rPr>
          <w:rStyle w:val="CommentTok"/>
        </w:rPr>
        <w:t xml:space="preserve"># NEU: Benannter Vektor für Spaltennamen</w:t>
      </w:r>
      <w:r>
        <w:br/>
      </w:r>
      <w:r>
        <w:br/>
      </w:r>
      <w:r>
        <w:rPr>
          <w:rStyle w:val="NormalTok"/>
        </w:rPr>
        <w:t xml:space="preserve">  </w:t>
      </w:r>
      <w:r>
        <w:rPr>
          <w:rStyle w:val="CommentTok"/>
        </w:rPr>
        <w:t xml:space="preserve"># Extract coefficients and p-values (Ihre Originalfunktion, keine Änderung hier)</w:t>
      </w:r>
      <w:r>
        <w:br/>
      </w:r>
      <w:r>
        <w:rPr>
          <w:rStyle w:val="NormalTok"/>
        </w:rPr>
        <w:t xml:space="preserve">  extract_coef_info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coef_matrix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NormalTok"/>
        </w:rPr>
        <w:t xml:space="preserve">    estimates </w:t>
      </w:r>
      <w:r>
        <w:rPr>
          <w:rStyle w:val="OtherTok"/>
        </w:rPr>
        <w:t xml:space="preserve">&lt;-</w:t>
      </w:r>
      <w:r>
        <w:rPr>
          <w:rStyle w:val="NormalTok"/>
        </w:rPr>
        <w:t xml:space="preserve"> coef_matrix[, </w:t>
      </w:r>
      <w:r>
        <w:rPr>
          <w:rStyle w:val="DecValTok"/>
        </w:rPr>
        <w:t xml:space="preserve">1</w:t>
      </w:r>
      <w:r>
        <w:rPr>
          <w:rStyle w:val="NormalTok"/>
        </w:rPr>
        <w:t xml:space="preserve">]</w:t>
      </w:r>
      <w:r>
        <w:br/>
      </w:r>
      <w:r>
        <w:rPr>
          <w:rStyle w:val="NormalTok"/>
        </w:rPr>
        <w:t xml:space="preserve">    p_values </w:t>
      </w:r>
      <w:r>
        <w:rPr>
          <w:rStyle w:val="OtherTok"/>
        </w:rPr>
        <w:t xml:space="preserve">&lt;-</w:t>
      </w:r>
      <w:r>
        <w:rPr>
          <w:rStyle w:val="NormalTok"/>
        </w:rPr>
        <w:t xml:space="preserve"> coef_matrix[, </w:t>
      </w:r>
      <w:r>
        <w:rPr>
          <w:rStyle w:val="FunctionTok"/>
        </w:rPr>
        <w:t xml:space="preserve">ncol</w:t>
      </w:r>
      <w:r>
        <w:rPr>
          <w:rStyle w:val="NormalTok"/>
        </w:rPr>
        <w:t xml:space="preserve">(coef_matrix)]</w:t>
      </w:r>
      <w:r>
        <w:br/>
      </w:r>
      <w:r>
        <w:rPr>
          <w:rStyle w:val="NormalTok"/>
        </w:rPr>
        <w:t xml:space="preserve">    formatted_coef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seq_along</w:t>
      </w:r>
      <w:r>
        <w:rPr>
          <w:rStyle w:val="NormalTok"/>
        </w:rPr>
        <w:t xml:space="preserve">(estimates), </w:t>
      </w:r>
      <w:r>
        <w:rPr>
          <w:rStyle w:val="ControlFlowTok"/>
        </w:rPr>
        <w:t xml:space="preserve">function</w:t>
      </w:r>
      <w:r>
        <w:rPr>
          <w:rStyle w:val="NormalTok"/>
        </w:rPr>
        <w:t xml:space="preserve">(i) {</w:t>
      </w:r>
      <w:r>
        <w:br/>
      </w:r>
      <w:r>
        <w:rPr>
          <w:rStyle w:val="NormalTok"/>
        </w:rPr>
        <w:t xml:space="preserve">      est_str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estimates[i])</w:t>
      </w:r>
      <w:r>
        <w:br/>
      </w:r>
      <w:r>
        <w:rPr>
          <w:rStyle w:val="NormalTok"/>
        </w:rPr>
        <w:t xml:space="preserve">      stars </w:t>
      </w:r>
      <w:r>
        <w:rPr>
          <w:rStyle w:val="OtherTok"/>
        </w:rPr>
        <w:t xml:space="preserve">&lt;-</w:t>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 "</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FunctionTok"/>
        </w:rPr>
        <w:t xml:space="preserve">paste0</w:t>
      </w:r>
      <w:r>
        <w:rPr>
          <w:rStyle w:val="NormalTok"/>
        </w:rPr>
        <w:t xml:space="preserve">(est_str,stars)</w:t>
      </w:r>
      <w:r>
        <w:br/>
      </w:r>
      <w:r>
        <w:rPr>
          <w:rStyle w:val="NormalTok"/>
        </w:rPr>
        <w:t xml:space="preserve">    })</w:t>
      </w:r>
      <w:r>
        <w:br/>
      </w:r>
      <w:r>
        <w:rPr>
          <w:rStyle w:val="NormalTok"/>
        </w:rPr>
        <w:t xml:space="preserve">    </w:t>
      </w:r>
      <w:r>
        <w:rPr>
          <w:rStyle w:val="FunctionTok"/>
        </w:rPr>
        <w:t xml:space="preserve">names</w:t>
      </w:r>
      <w:r>
        <w:rPr>
          <w:rStyle w:val="NormalTok"/>
        </w:rPr>
        <w:t xml:space="preserve">(formatted_coef) </w:t>
      </w:r>
      <w:r>
        <w:rPr>
          <w:rStyle w:val="OtherTok"/>
        </w:rPr>
        <w:t xml:space="preserve">&lt;-</w:t>
      </w:r>
      <w:r>
        <w:rPr>
          <w:rStyle w:val="NormalTok"/>
        </w:rPr>
        <w:t xml:space="preserve"> </w:t>
      </w:r>
      <w:r>
        <w:rPr>
          <w:rStyle w:val="FunctionTok"/>
        </w:rPr>
        <w:t xml:space="preserve">rownames</w:t>
      </w:r>
      <w:r>
        <w:rPr>
          <w:rStyle w:val="NormalTok"/>
        </w:rPr>
        <w:t xml:space="preserve">(coef_matrix)</w:t>
      </w:r>
      <w:r>
        <w:br/>
      </w:r>
      <w:r>
        <w:rPr>
          <w:rStyle w:val="NormalTok"/>
        </w:rPr>
        <w:t xml:space="preserve">    </w:t>
      </w:r>
      <w:r>
        <w:rPr>
          <w:rStyle w:val="FunctionTok"/>
        </w:rPr>
        <w:t xml:space="preserve">return</w:t>
      </w:r>
      <w:r>
        <w:rPr>
          <w:rStyle w:val="NormalTok"/>
        </w:rPr>
        <w:t xml:space="preserve">(formatted_coef)</w:t>
      </w:r>
      <w:r>
        <w:br/>
      </w:r>
      <w:r>
        <w:rPr>
          <w:rStyle w:val="NormalTok"/>
        </w:rPr>
        <w:t xml:space="preserve">  }</w:t>
      </w:r>
      <w:r>
        <w:br/>
      </w:r>
      <w:r>
        <w:br/>
      </w:r>
      <w:r>
        <w:rPr>
          <w:rStyle w:val="NormalTok"/>
        </w:rPr>
        <w:t xml:space="preserve">  </w:t>
      </w:r>
      <w:r>
        <w:rPr>
          <w:rStyle w:val="CommentTok"/>
        </w:rPr>
        <w:t xml:space="preserve"># Extract R-squared values (Ihre Originalfunktion, keine Änderung hier)</w:t>
      </w:r>
      <w:r>
        <w:br/>
      </w:r>
      <w:r>
        <w:rPr>
          <w:rStyle w:val="NormalTok"/>
        </w:rPr>
        <w:t xml:space="preserve">  extract_r_squared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r2_values </w:t>
      </w:r>
      <w:r>
        <w:rPr>
          <w:rStyle w:val="OtherTok"/>
        </w:rPr>
        <w:t xml:space="preserve">&lt;-</w:t>
      </w:r>
      <w:r>
        <w:rPr>
          <w:rStyle w:val="NormalTok"/>
        </w:rPr>
        <w:t xml:space="preserve"> MuMIn</w:t>
      </w:r>
      <w:r>
        <w:rPr>
          <w:rStyle w:val="SpecialCharTok"/>
        </w:rPr>
        <w:t xml:space="preserve">::</w:t>
      </w:r>
      <w:r>
        <w:rPr>
          <w:rStyle w:val="FunctionTok"/>
        </w:rPr>
        <w:t xml:space="preserve">r.squaredGLMM</w:t>
      </w:r>
      <w:r>
        <w:rPr>
          <w:rStyle w:val="NormalTok"/>
        </w:rPr>
        <w:t xml:space="preserve">(model) </w:t>
      </w:r>
      <w:r>
        <w:rPr>
          <w:rStyle w:val="CommentTok"/>
        </w:rPr>
        <w:t xml:space="preserve"># MuMIn:: hinzugefügt für Klarheit</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R2m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"R2m"</w:t>
      </w:r>
      <w:r>
        <w:rPr>
          <w:rStyle w:val="NormalTok"/>
        </w:rPr>
        <w:t xml:space="preserve">]),</w:t>
      </w:r>
      <w:r>
        <w:br/>
      </w:r>
      <w:r>
        <w:rPr>
          <w:rStyle w:val="NormalTok"/>
        </w:rPr>
        <w:t xml:space="preserve">      </w:t>
      </w:r>
      <w:r>
        <w:rPr>
          <w:rStyle w:val="AttributeTok"/>
        </w:rPr>
        <w:t xml:space="preserve">R2c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"R2c"</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Daten extrahieren (Ihr Originalcode)</w:t>
      </w:r>
      <w:r>
        <w:br/>
      </w:r>
      <w:r>
        <w:rPr>
          <w:rStyle w:val="NormalTok"/>
        </w:rPr>
        <w:t xml:space="preserve">  all_coefs </w:t>
      </w:r>
      <w:r>
        <w:rPr>
          <w:rStyle w:val="OtherTok"/>
        </w:rPr>
        <w:t xml:space="preserve">&lt;-</w:t>
      </w:r>
      <w:r>
        <w:rPr>
          <w:rStyle w:val="NormalTok"/>
        </w:rPr>
        <w:t xml:space="preserve"> </w:t>
      </w:r>
      <w:r>
        <w:rPr>
          <w:rStyle w:val="FunctionTok"/>
        </w:rPr>
        <w:t xml:space="preserve">lapply</w:t>
      </w:r>
      <w:r>
        <w:rPr>
          <w:rStyle w:val="NormalTok"/>
        </w:rPr>
        <w:t xml:space="preserve">(lmer_models, extract_coef_info)</w:t>
      </w:r>
      <w:r>
        <w:br/>
      </w:r>
      <w:r>
        <w:rPr>
          <w:rStyle w:val="NormalTok"/>
        </w:rPr>
        <w:t xml:space="preserve">  all_r_squared </w:t>
      </w:r>
      <w:r>
        <w:rPr>
          <w:rStyle w:val="OtherTok"/>
        </w:rPr>
        <w:t xml:space="preserve">&lt;-</w:t>
      </w:r>
      <w:r>
        <w:rPr>
          <w:rStyle w:val="NormalTok"/>
        </w:rPr>
        <w:t xml:space="preserve"> </w:t>
      </w:r>
      <w:r>
        <w:rPr>
          <w:rStyle w:val="FunctionTok"/>
        </w:rPr>
        <w:t xml:space="preserve">lapply</w:t>
      </w:r>
      <w:r>
        <w:rPr>
          <w:rStyle w:val="NormalTok"/>
        </w:rPr>
        <w:t xml:space="preserve">(lmer_models, extract_r_squared)</w:t>
      </w:r>
      <w:r>
        <w:br/>
      </w:r>
      <w:r>
        <w:rPr>
          <w:rStyle w:val="NormalTok"/>
        </w:rPr>
        <w:t xml:space="preserve">  all_covariate_names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(all_coefs, names)))</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(covariate_order)) {</w:t>
      </w:r>
      <w:r>
        <w:br/>
      </w:r>
      <w:r>
        <w:rPr>
          <w:rStyle w:val="NormalTok"/>
        </w:rPr>
        <w:t xml:space="preserve">    covariate_order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FunctionTok"/>
        </w:rPr>
        <w:t xml:space="preserve">sort</w:t>
      </w:r>
      <w:r>
        <w:rPr>
          <w:rStyle w:val="NormalTok"/>
        </w:rPr>
        <w:t xml:space="preserve">(all_covariate_names[all_covariate_names </w:t>
      </w:r>
      <w:r>
        <w:rPr>
          <w:rStyle w:val="SpecialCha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br/>
      </w:r>
      <w:r>
        <w:rPr>
          <w:rStyle w:val="NormalTok"/>
        </w:rPr>
        <w:t xml:space="preserve">  covariate_order </w:t>
      </w:r>
      <w:r>
        <w:rPr>
          <w:rStyle w:val="OtherTok"/>
        </w:rPr>
        <w:t xml:space="preserve">&lt;-</w:t>
      </w:r>
      <w:r>
        <w:rPr>
          <w:rStyle w:val="NormalTok"/>
        </w:rPr>
        <w:t xml:space="preserve"> covariate_order[covariate_order </w:t>
      </w:r>
      <w:r>
        <w:rPr>
          <w:rStyle w:val="SpecialCharTok"/>
        </w:rPr>
        <w:t xml:space="preserve">%in%</w:t>
      </w:r>
      <w:r>
        <w:rPr>
          <w:rStyle w:val="NormalTok"/>
        </w:rPr>
        <w:t xml:space="preserve"> all_covariate_names]</w:t>
      </w:r>
      <w:r>
        <w:br/>
      </w:r>
      <w:r>
        <w:rPr>
          <w:rStyle w:val="NormalTok"/>
        </w:rPr>
        <w:t xml:space="preserve">  final_order </w:t>
      </w:r>
      <w:r>
        <w:rPr>
          <w:rStyle w:val="OtherTok"/>
        </w:rPr>
        <w:t xml:space="preserve">&lt;-</w:t>
      </w:r>
      <w:r>
        <w:rPr>
          <w:rStyle w:val="NormalTok"/>
        </w:rPr>
        <w:t xml:space="preserve"> </w:t>
      </w:r>
      <w:r>
        <w:rPr>
          <w:rStyle w:val="FunctionTok"/>
        </w:rPr>
        <w:t xml:space="preserve">c</w:t>
      </w:r>
      <w:r>
        <w:rPr>
          <w:rStyle w:val="NormalTok"/>
        </w:rPr>
        <w:t xml:space="preserve">(covariate_order, </w:t>
      </w:r>
      <w:r>
        <w:rPr>
          <w:rStyle w:val="StringTok"/>
        </w:rPr>
        <w:t xml:space="preserve">"R2m"</w:t>
      </w:r>
      <w:r>
        <w:rPr>
          <w:rStyle w:val="NormalTok"/>
        </w:rPr>
        <w:t xml:space="preserve">, </w:t>
      </w:r>
      <w:r>
        <w:rPr>
          <w:rStyle w:val="StringTok"/>
        </w:rPr>
        <w:t xml:space="preserve">"R2c"</w:t>
      </w:r>
      <w:r>
        <w:rPr>
          <w:rStyle w:val="NormalTok"/>
        </w:rPr>
        <w:t xml:space="preserve">)</w:t>
      </w:r>
      <w:r>
        <w:br/>
      </w:r>
      <w:r>
        <w:br/>
      </w:r>
      <w:r>
        <w:rPr>
          <w:rStyle w:val="NormalTok"/>
        </w:rPr>
        <w:t xml:space="preserve">  </w:t>
      </w:r>
      <w:r>
        <w:rPr>
          <w:rStyle w:val="CommentTok"/>
        </w:rPr>
        <w:t xml:space="preserve"># Matrix erstellen (Ihr Originalcode)</w:t>
      </w:r>
      <w:r>
        <w:br/>
      </w:r>
      <w:r>
        <w:rPr>
          <w:rStyle w:val="NormalTok"/>
        </w:rPr>
        <w:t xml:space="preserve">  results_matrix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(final_order),</w:t>
      </w:r>
      <w:r>
        <w:br/>
      </w:r>
      <w:r>
        <w:rPr>
          <w:rStyle w:val="NormalTok"/>
        </w:rPr>
        <w:t xml:space="preserve">                           </w:t>
      </w:r>
      <w:r>
        <w:rPr>
          <w:rStyle w:val="AttributeTok"/>
        </w:rPr>
        <w:t xml:space="preserve">ncol =</w:t>
      </w:r>
      <w:r>
        <w:rPr>
          <w:rStyle w:val="NormalTok"/>
        </w:rPr>
        <w:t xml:space="preserve"> </w:t>
      </w:r>
      <w:r>
        <w:rPr>
          <w:rStyle w:val="FunctionTok"/>
        </w:rPr>
        <w:t xml:space="preserve">length</w:t>
      </w:r>
      <w:r>
        <w:rPr>
          <w:rStyle w:val="NormalTok"/>
        </w:rPr>
        <w:t xml:space="preserve">(lmer_models),</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(final_order, </w:t>
      </w:r>
      <w:r>
        <w:rPr>
          <w:rStyle w:val="FunctionTok"/>
        </w:rPr>
        <w:t xml:space="preserve">names</w:t>
      </w:r>
      <w:r>
        <w:rPr>
          <w:rStyle w:val="NormalTok"/>
        </w:rPr>
        <w:t xml:space="preserve">(lmer_models)))</w:t>
      </w:r>
      <w:r>
        <w:br/>
      </w:r>
      <w:r>
        <w:br/>
      </w:r>
      <w:r>
        <w:rPr>
          <w:rStyle w:val="NormalTok"/>
        </w:rPr>
        <w:t xml:space="preserve">  </w:t>
      </w:r>
      <w:r>
        <w:rPr>
          <w:rStyle w:val="CommentTok"/>
        </w:rPr>
        <w:t xml:space="preserve"># Matrix füllen (Ihr Originalcode)</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(lmer_models)) {</w:t>
      </w:r>
      <w:r>
        <w:br/>
      </w:r>
      <w:r>
        <w:rPr>
          <w:rStyle w:val="NormalTok"/>
        </w:rPr>
        <w:t xml:space="preserve">    model_coefs </w:t>
      </w:r>
      <w:r>
        <w:rPr>
          <w:rStyle w:val="OtherTok"/>
        </w:rPr>
        <w:t xml:space="preserve">&lt;-</w:t>
      </w:r>
      <w:r>
        <w:rPr>
          <w:rStyle w:val="NormalTok"/>
        </w:rPr>
        <w:t xml:space="preserve"> all_coefs[[model_name]]</w:t>
      </w:r>
      <w:r>
        <w:br/>
      </w:r>
      <w:r>
        <w:rPr>
          <w:rStyle w:val="NormalTok"/>
        </w:rPr>
        <w:t xml:space="preserve">    </w:t>
      </w:r>
      <w:r>
        <w:rPr>
          <w:rStyle w:val="ControlFlowTok"/>
        </w:rPr>
        <w:t xml:space="preserve">for</w:t>
      </w:r>
      <w:r>
        <w:rPr>
          <w:rStyle w:val="NormalTok"/>
        </w:rPr>
        <w:t xml:space="preserve"> (covar </w:t>
      </w:r>
      <w:r>
        <w:rPr>
          <w:rStyle w:val="ControlFlowTok"/>
        </w:rPr>
        <w:t xml:space="preserve">in</w:t>
      </w:r>
      <w:r>
        <w:rPr>
          <w:rStyle w:val="NormalTok"/>
        </w:rPr>
        <w:t xml:space="preserve"> </w:t>
      </w:r>
      <w:r>
        <w:rPr>
          <w:rStyle w:val="FunctionTok"/>
        </w:rPr>
        <w:t xml:space="preserve">names</w:t>
      </w:r>
      <w:r>
        <w:rPr>
          <w:rStyle w:val="NormalTok"/>
        </w:rPr>
        <w:t xml:space="preserve">(model_coefs)) {</w:t>
      </w:r>
      <w:r>
        <w:br/>
      </w:r>
      <w:r>
        <w:rPr>
          <w:rStyle w:val="NormalTok"/>
        </w:rPr>
        <w:t xml:space="preserve">      </w:t>
      </w:r>
      <w:r>
        <w:rPr>
          <w:rStyle w:val="ControlFlowTok"/>
        </w:rPr>
        <w:t xml:space="preserve">if</w:t>
      </w:r>
      <w:r>
        <w:rPr>
          <w:rStyle w:val="NormalTok"/>
        </w:rPr>
        <w:t xml:space="preserve"> (covar </w:t>
      </w:r>
      <w:r>
        <w:rPr>
          <w:rStyle w:val="SpecialCharTok"/>
        </w:rPr>
        <w:t xml:space="preserve">%in%</w:t>
      </w:r>
      <w:r>
        <w:rPr>
          <w:rStyle w:val="NormalTok"/>
        </w:rPr>
        <w:t xml:space="preserve"> covariate_order) {</w:t>
      </w:r>
      <w:r>
        <w:br/>
      </w:r>
      <w:r>
        <w:rPr>
          <w:rStyle w:val="NormalTok"/>
        </w:rPr>
        <w:t xml:space="preserve">        results_matrix[covar, model_name] </w:t>
      </w:r>
      <w:r>
        <w:rPr>
          <w:rStyle w:val="OtherTok"/>
        </w:rPr>
        <w:t xml:space="preserve">&lt;-</w:t>
      </w:r>
      <w:r>
        <w:rPr>
          <w:rStyle w:val="NormalTok"/>
        </w:rPr>
        <w:t xml:space="preserve"> model_coefs[covar]</w:t>
      </w:r>
      <w:r>
        <w:br/>
      </w:r>
      <w:r>
        <w:rPr>
          <w:rStyle w:val="NormalTok"/>
        </w:rPr>
        <w:t xml:space="preserve">      }</w:t>
      </w:r>
      <w:r>
        <w:br/>
      </w:r>
      <w:r>
        <w:rPr>
          <w:rStyle w:val="NormalTok"/>
        </w:rPr>
        <w:t xml:space="preserve">    }</w:t>
      </w:r>
      <w:r>
        <w:br/>
      </w:r>
      <w:r>
        <w:rPr>
          <w:rStyle w:val="NormalTok"/>
        </w:rPr>
        <w:t xml:space="preserve">    r2_values </w:t>
      </w:r>
      <w:r>
        <w:rPr>
          <w:rStyle w:val="OtherTok"/>
        </w:rPr>
        <w:t xml:space="preserve">&lt;-</w:t>
      </w:r>
      <w:r>
        <w:rPr>
          <w:rStyle w:val="NormalTok"/>
        </w:rPr>
        <w:t xml:space="preserve"> all_r_squared[[model_name]]</w:t>
      </w:r>
      <w:r>
        <w:br/>
      </w:r>
      <w:r>
        <w:rPr>
          <w:rStyle w:val="NormalTok"/>
        </w:rPr>
        <w:t xml:space="preserve">    results_matrix[</w:t>
      </w:r>
      <w:r>
        <w:rPr>
          <w:rStyle w:val="StringTok"/>
        </w:rPr>
        <w:t xml:space="preserve">"R2m"</w:t>
      </w:r>
      <w:r>
        <w:rPr>
          <w:rStyle w:val="NormalTok"/>
        </w:rPr>
        <w:t xml:space="preserve">, model_name] </w:t>
      </w:r>
      <w:r>
        <w:rPr>
          <w:rStyle w:val="OtherTok"/>
        </w:rPr>
        <w:t xml:space="preserve">&lt;-</w:t>
      </w:r>
      <w:r>
        <w:rPr>
          <w:rStyle w:val="NormalTok"/>
        </w:rPr>
        <w:t xml:space="preserve"> r2_values[</w:t>
      </w:r>
      <w:r>
        <w:rPr>
          <w:rStyle w:val="StringTok"/>
        </w:rPr>
        <w:t xml:space="preserve">"R2m"</w:t>
      </w:r>
      <w:r>
        <w:rPr>
          <w:rStyle w:val="NormalTok"/>
        </w:rPr>
        <w:t xml:space="preserve">]</w:t>
      </w:r>
      <w:r>
        <w:br/>
      </w:r>
      <w:r>
        <w:rPr>
          <w:rStyle w:val="NormalTok"/>
        </w:rPr>
        <w:t xml:space="preserve">    results_matrix[</w:t>
      </w:r>
      <w:r>
        <w:rPr>
          <w:rStyle w:val="StringTok"/>
        </w:rPr>
        <w:t xml:space="preserve">"R2c"</w:t>
      </w:r>
      <w:r>
        <w:rPr>
          <w:rStyle w:val="NormalTok"/>
        </w:rPr>
        <w:t xml:space="preserve">, model_name] </w:t>
      </w:r>
      <w:r>
        <w:rPr>
          <w:rStyle w:val="OtherTok"/>
        </w:rPr>
        <w:t xml:space="preserve">&lt;-</w:t>
      </w:r>
      <w:r>
        <w:rPr>
          <w:rStyle w:val="NormalTok"/>
        </w:rPr>
        <w:t xml:space="preserve"> r2_values[</w:t>
      </w:r>
      <w:r>
        <w:rPr>
          <w:rStyle w:val="StringTok"/>
        </w:rPr>
        <w:t xml:space="preserve">"R2c"</w:t>
      </w:r>
      <w:r>
        <w:rPr>
          <w:rStyle w:val="NormalTok"/>
        </w:rPr>
        <w:t xml:space="preserve">]</w:t>
      </w:r>
      <w:r>
        <w:br/>
      </w:r>
      <w:r>
        <w:rPr>
          <w:rStyle w:val="NormalTok"/>
        </w:rPr>
        <w:t xml:space="preserve">  }</w:t>
      </w:r>
      <w:r>
        <w:br/>
      </w:r>
      <w:r>
        <w:br/>
      </w:r>
      <w:r>
        <w:rPr>
          <w:rStyle w:val="NormalTok"/>
        </w:rPr>
        <w:t xml:space="preserve">  </w:t>
      </w:r>
      <w:r>
        <w:rPr>
          <w:rStyle w:val="CommentTok"/>
        </w:rPr>
        <w:t xml:space="preserve"># --- NEU: Zeilen- und Spaltennamen ersetzen ---</w:t>
      </w:r>
      <w:r>
        <w:br/>
      </w:r>
      <w:r>
        <w:rPr>
          <w:rStyle w:val="NormalTok"/>
        </w:rPr>
        <w:t xml:space="preserve">  </w:t>
      </w:r>
      <w:r>
        <w:br/>
      </w:r>
      <w:r>
        <w:rPr>
          <w:rStyle w:val="NormalTok"/>
        </w:rPr>
        <w:t xml:space="preserve">  </w:t>
      </w:r>
      <w:r>
        <w:rPr>
          <w:rStyle w:val="CommentTok"/>
        </w:rPr>
        <w:t xml:space="preserve"># Ersetze die Zeilennamen (Kovariaten), falls covariate_labels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(covariate_labels)) {</w:t>
      </w:r>
      <w:r>
        <w:br/>
      </w:r>
      <w:r>
        <w:rPr>
          <w:rStyle w:val="NormalTok"/>
        </w:rPr>
        <w:t xml:space="preserve">    </w:t>
      </w:r>
      <w:r>
        <w:rPr>
          <w:rStyle w:val="CommentTok"/>
        </w:rPr>
        <w:t xml:space="preserve"># Finde die Übereinstimmungen in den aktuellen Zeilennamen</w:t>
      </w:r>
      <w:r>
        <w:br/>
      </w:r>
      <w:r>
        <w:rPr>
          <w:rStyle w:val="NormalTok"/>
        </w:rPr>
        <w:t xml:space="preserve">    row_matches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rownames</w:t>
      </w:r>
      <w:r>
        <w:rPr>
          <w:rStyle w:val="NormalTok"/>
        </w:rPr>
        <w:t xml:space="preserve">(results_matrix), </w:t>
      </w:r>
      <w:r>
        <w:rPr>
          <w:rStyle w:val="FunctionTok"/>
        </w:rPr>
        <w:t xml:space="preserve">names</w:t>
      </w:r>
      <w:r>
        <w:rPr>
          <w:rStyle w:val="NormalTok"/>
        </w:rPr>
        <w:t xml:space="preserve">(covariate_labels))</w:t>
      </w:r>
      <w:r>
        <w:br/>
      </w:r>
      <w:r>
        <w:rPr>
          <w:rStyle w:val="NormalTok"/>
        </w:rPr>
        <w:t xml:space="preserve">    </w:t>
      </w:r>
      <w:r>
        <w:rPr>
          <w:rStyle w:val="CommentTok"/>
        </w:rPr>
        <w:t xml:space="preserve"># Ersetze nur die, die gefunden wurden</w:t>
      </w:r>
      <w:r>
        <w:br/>
      </w:r>
      <w:r>
        <w:rPr>
          <w:rStyle w:val="NormalTok"/>
        </w:rPr>
        <w:t xml:space="preserve">    new_rownames </w:t>
      </w:r>
      <w:r>
        <w:rPr>
          <w:rStyle w:val="OtherTok"/>
        </w:rPr>
        <w:t xml:space="preserve">&lt;-</w:t>
      </w:r>
      <w:r>
        <w:rPr>
          <w:rStyle w:val="NormalTok"/>
        </w:rPr>
        <w:t xml:space="preserve"> </w:t>
      </w:r>
      <w:r>
        <w:rPr>
          <w:rStyle w:val="FunctionTok"/>
        </w:rPr>
        <w:t xml:space="preserve">rownames</w:t>
      </w:r>
      <w:r>
        <w:rPr>
          <w:rStyle w:val="NormalTok"/>
        </w:rPr>
        <w:t xml:space="preserve">(results_matrix)</w:t>
      </w:r>
      <w:r>
        <w:br/>
      </w:r>
      <w:r>
        <w:rPr>
          <w:rStyle w:val="NormalTok"/>
        </w:rPr>
        <w:t xml:space="preserve">    new_rownames[</w:t>
      </w:r>
      <w:r>
        <w:rPr>
          <w:rStyle w:val="SpecialCharTok"/>
        </w:rPr>
        <w:t xml:space="preserve">!</w:t>
      </w:r>
      <w:r>
        <w:rPr>
          <w:rStyle w:val="FunctionTok"/>
        </w:rPr>
        <w:t xml:space="preserve">is.na</w:t>
      </w:r>
      <w:r>
        <w:rPr>
          <w:rStyle w:val="NormalTok"/>
        </w:rPr>
        <w:t xml:space="preserve">(row_matches)] </w:t>
      </w:r>
      <w:r>
        <w:rPr>
          <w:rStyle w:val="OtherTok"/>
        </w:rPr>
        <w:t xml:space="preserve">&lt;-</w:t>
      </w:r>
      <w:r>
        <w:rPr>
          <w:rStyle w:val="NormalTok"/>
        </w:rPr>
        <w:t xml:space="preserve"> covariate_labels[row_matches[</w:t>
      </w:r>
      <w:r>
        <w:rPr>
          <w:rStyle w:val="SpecialCharTok"/>
        </w:rPr>
        <w:t xml:space="preserve">!</w:t>
      </w:r>
      <w:r>
        <w:rPr>
          <w:rStyle w:val="FunctionTok"/>
        </w:rPr>
        <w:t xml:space="preserve">is.na</w:t>
      </w:r>
      <w:r>
        <w:rPr>
          <w:rStyle w:val="NormalTok"/>
        </w:rPr>
        <w:t xml:space="preserve">(row_matches)]]</w:t>
      </w:r>
      <w:r>
        <w:br/>
      </w:r>
      <w:r>
        <w:rPr>
          <w:rStyle w:val="NormalTok"/>
        </w:rPr>
        <w:t xml:space="preserve">    </w:t>
      </w:r>
      <w:r>
        <w:rPr>
          <w:rStyle w:val="FunctionTok"/>
        </w:rPr>
        <w:t xml:space="preserve">rownames</w:t>
      </w:r>
      <w:r>
        <w:rPr>
          <w:rStyle w:val="NormalTok"/>
        </w:rPr>
        <w:t xml:space="preserve">(results_matrix) </w:t>
      </w:r>
      <w:r>
        <w:rPr>
          <w:rStyle w:val="OtherTok"/>
        </w:rPr>
        <w:t xml:space="preserve">&lt;-</w:t>
      </w:r>
      <w:r>
        <w:rPr>
          <w:rStyle w:val="NormalTok"/>
        </w:rPr>
        <w:t xml:space="preserve"> new_rownames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Ersetze die Spaltennamen (Modelle), falls model_labels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(model_labels)) {</w:t>
      </w:r>
      <w:r>
        <w:br/>
      </w:r>
      <w:r>
        <w:rPr>
          <w:rStyle w:val="NormalTok"/>
        </w:rPr>
        <w:t xml:space="preserve">    col_matches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colnames</w:t>
      </w:r>
      <w:r>
        <w:rPr>
          <w:rStyle w:val="NormalTok"/>
        </w:rPr>
        <w:t xml:space="preserve">(results_matrix), </w:t>
      </w:r>
      <w:r>
        <w:rPr>
          <w:rStyle w:val="FunctionTok"/>
        </w:rPr>
        <w:t xml:space="preserve">names</w:t>
      </w:r>
      <w:r>
        <w:rPr>
          <w:rStyle w:val="NormalTok"/>
        </w:rPr>
        <w:t xml:space="preserve">(model_labels))</w:t>
      </w:r>
      <w:r>
        <w:br/>
      </w:r>
      <w:r>
        <w:rPr>
          <w:rStyle w:val="NormalTok"/>
        </w:rPr>
        <w:t xml:space="preserve">    new_colnames </w:t>
      </w:r>
      <w:r>
        <w:rPr>
          <w:rStyle w:val="OtherTok"/>
        </w:rPr>
        <w:t xml:space="preserve">&lt;-</w:t>
      </w:r>
      <w:r>
        <w:rPr>
          <w:rStyle w:val="NormalTok"/>
        </w:rPr>
        <w:t xml:space="preserve"> </w:t>
      </w:r>
      <w:r>
        <w:rPr>
          <w:rStyle w:val="FunctionTok"/>
        </w:rPr>
        <w:t xml:space="preserve">colnames</w:t>
      </w:r>
      <w:r>
        <w:rPr>
          <w:rStyle w:val="NormalTok"/>
        </w:rPr>
        <w:t xml:space="preserve">(results_matrix)</w:t>
      </w:r>
      <w:r>
        <w:br/>
      </w:r>
      <w:r>
        <w:rPr>
          <w:rStyle w:val="NormalTok"/>
        </w:rPr>
        <w:t xml:space="preserve">    new_colnames[</w:t>
      </w:r>
      <w:r>
        <w:rPr>
          <w:rStyle w:val="SpecialCharTok"/>
        </w:rPr>
        <w:t xml:space="preserve">!</w:t>
      </w:r>
      <w:r>
        <w:rPr>
          <w:rStyle w:val="FunctionTok"/>
        </w:rPr>
        <w:t xml:space="preserve">is.na</w:t>
      </w:r>
      <w:r>
        <w:rPr>
          <w:rStyle w:val="NormalTok"/>
        </w:rPr>
        <w:t xml:space="preserve">(col_matches)] </w:t>
      </w:r>
      <w:r>
        <w:rPr>
          <w:rStyle w:val="OtherTok"/>
        </w:rPr>
        <w:t xml:space="preserve">&lt;-</w:t>
      </w:r>
      <w:r>
        <w:rPr>
          <w:rStyle w:val="NormalTok"/>
        </w:rPr>
        <w:t xml:space="preserve"> model_labels[col_matches[</w:t>
      </w:r>
      <w:r>
        <w:rPr>
          <w:rStyle w:val="SpecialCharTok"/>
        </w:rPr>
        <w:t xml:space="preserve">!</w:t>
      </w:r>
      <w:r>
        <w:rPr>
          <w:rStyle w:val="FunctionTok"/>
        </w:rPr>
        <w:t xml:space="preserve">is.na</w:t>
      </w:r>
      <w:r>
        <w:rPr>
          <w:rStyle w:val="NormalTok"/>
        </w:rPr>
        <w:t xml:space="preserve">(col_matches)]]</w:t>
      </w:r>
      <w:r>
        <w:br/>
      </w:r>
      <w:r>
        <w:rPr>
          <w:rStyle w:val="NormalTok"/>
        </w:rPr>
        <w:t xml:space="preserve">    </w:t>
      </w:r>
      <w:r>
        <w:rPr>
          <w:rStyle w:val="FunctionTok"/>
        </w:rPr>
        <w:t xml:space="preserve">colnames</w:t>
      </w:r>
      <w:r>
        <w:rPr>
          <w:rStyle w:val="NormalTok"/>
        </w:rPr>
        <w:t xml:space="preserve">(results_matrix) </w:t>
      </w:r>
      <w:r>
        <w:rPr>
          <w:rStyle w:val="OtherTok"/>
        </w:rPr>
        <w:t xml:space="preserve">&lt;-</w:t>
      </w:r>
      <w:r>
        <w:rPr>
          <w:rStyle w:val="NormalTok"/>
        </w:rPr>
        <w:t xml:space="preserve"> new_colnames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 Ende der neuen Sektion ---</w:t>
      </w:r>
      <w:r>
        <w:br/>
      </w:r>
      <w:r>
        <w:br/>
      </w:r>
      <w:r>
        <w:rPr>
          <w:rStyle w:val="NormalTok"/>
        </w:rPr>
        <w:t xml:space="preserve">  </w:t>
      </w:r>
      <w:r>
        <w:rPr>
          <w:rStyle w:val="CommentTok"/>
        </w:rPr>
        <w:t xml:space="preserve"># Convert to data frame for kable</w:t>
      </w:r>
      <w:r>
        <w:br/>
      </w:r>
      <w:r>
        <w:rPr>
          <w:rStyle w:val="NormalTok"/>
        </w:rPr>
        <w:t xml:space="preserve">  results_df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"Predictor"</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(results_matrix),</w:t>
      </w:r>
      <w:r>
        <w:br/>
      </w:r>
      <w:r>
        <w:rPr>
          <w:rStyle w:val="NormalTok"/>
        </w:rPr>
        <w:t xml:space="preserve">                           results_matrix,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CommentTok"/>
        </w:rPr>
        <w:t xml:space="preserve"># Verhindert, dass R Spaltennamen ändert</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results_df</w:t>
      </w:r>
      <w:r>
        <w:br/>
      </w:r>
      <w:r>
        <w:rPr>
          <w:rStyle w:val="NormalTok"/>
        </w:rPr>
        <w:t xml:space="preserve">}</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19" w:name="X623e521be83114432db2f1c7d18ba665d67bdd5"/>
    <w:p>
      <w:pPr>
        <w:pStyle w:val="Heading2"/>
      </w:pPr>
      <w:r>
        <w:t xml:space="preserve">1.1 Establishment of the P-Desorption Kinetic Model</w:t>
      </w:r>
    </w:p>
    <w:p>
      <w:pPr>
        <w:pStyle w:val="FirstParagraph"/>
      </w:pPr>
      <w:r>
        <w:t xml:space="preserve">The primary goal was to derive two key parameters for each soil sample: the desorbable P pool (</w:t>
      </w:r>
      <m:oMath>
        <m:sSub>
          <m:e>
            <m:r>
              <m:t>P</m:t>
            </m:r>
          </m:e>
          <m:sub>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13" w:name="Xc5152bc0d8277c92f5b5561836317bc1f747dd2"/>
    <w:p>
      <w:pPr>
        <w:pStyle w:val="Heading3"/>
      </w:pPr>
      <w:r>
        <w:t xml:space="preserve">1.1.1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12" w:name="fig-linearized-model"/>
          <w:p>
            <w:pPr>
              <w:pStyle w:val="Compact"/>
              <w:jc w:val="center"/>
            </w:pPr>
            <w:r>
              <w:drawing>
                <wp:inline>
                  <wp:extent cx="4620126" cy="4620126"/>
                  <wp:effectExtent b="0" l="0" r="0" t="0"/>
                  <wp:docPr descr="" title="" id="10" name="Picture"/>
                  <a:graphic>
                    <a:graphicData uri="http://schemas.openxmlformats.org/drawingml/2006/picture">
                      <pic:pic>
                        <pic:nvPicPr>
                          <pic:cNvPr descr="25-results_files/figure-docx/fig-linearized-model-1.png" id="11" name="Picture"/>
                          <pic:cNvPicPr>
                            <a:picLocks noChangeArrowheads="1" noChangeAspect="1"/>
                          </pic:cNvPicPr>
                        </pic:nvPicPr>
                        <pic:blipFill>
                          <a:blip r:embed="rId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12"/>
        </w:tc>
      </w:tr>
    </w:tbl>
    <w:bookmarkEnd w:id="13"/>
    <w:bookmarkStart w:id="18" w:name="Xa1f48741cc3a88a20671852547ba1fa19b477bc"/>
    <w:p>
      <w:pPr>
        <w:pStyle w:val="Heading3"/>
      </w:pPr>
      <w:r>
        <w:t xml:space="preserve">1.1.2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17" w:name="fig-nonlinear-model"/>
          <w:p>
            <w:pPr>
              <w:pStyle w:val="Compact"/>
              <w:jc w:val="center"/>
            </w:pPr>
            <w:r>
              <w:drawing>
                <wp:inline>
                  <wp:extent cx="4620126" cy="5544151"/>
                  <wp:effectExtent b="0" l="0" r="0" t="0"/>
                  <wp:docPr descr="" title="" id="15" name="Picture"/>
                  <a:graphic>
                    <a:graphicData uri="http://schemas.openxmlformats.org/drawingml/2006/picture">
                      <pic:pic>
                        <pic:nvPicPr>
                          <pic:cNvPr descr="25-results_files/figure-docx/fig-nonlinear-model-1.png" id="16" name="Picture"/>
                          <pic:cNvPicPr>
                            <a:picLocks noChangeArrowheads="1" noChangeAspect="1"/>
                          </pic:cNvPicPr>
                        </pic:nvPicPr>
                        <pic:blipFill>
                          <a:blip r:embed="rId14"/>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17"/>
        </w:tc>
      </w:tr>
    </w:tbl>
    <w:bookmarkEnd w:id="18"/>
    <w:bookmarkEnd w:id="19"/>
    <w:bookmarkStart w:id="29" w:name="X57c0e16474e0112c1b66bc31d7fcfca02c450f3"/>
    <w:p>
      <w:pPr>
        <w:pStyle w:val="Heading2"/>
      </w:pPr>
      <w:r>
        <w:t xml:space="preserve">1.2 Comparison with Isotopic Exchange Kinetics (IEK)</w:t>
      </w:r>
    </w:p>
    <w:p>
      <w:pPr>
        <w:pStyle w:val="FirstParagraph"/>
      </w:pPr>
      <w:r>
        <w:t xml:space="preserve">To validate the newly derived kinetic parameters against an established benchmark, the capacity (</w:t>
      </w:r>
      <m:oMath>
        <m:sSub>
          <m:e>
            <m:r>
              <m:t>P</m:t>
            </m:r>
          </m:e>
          <m:sub>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28"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3" w:name="fig-iek-comparison-1"/>
                <w:p>
                  <w:pPr>
                    <w:pStyle w:val="Compact"/>
                    <w:jc w:val="center"/>
                    <w:jc w:val="left"/>
                  </w:pPr>
                  <w:r>
                    <w:drawing>
                      <wp:inline>
                        <wp:extent cx="2971800" cy="2377440"/>
                        <wp:effectExtent b="0" l="0" r="0" t="0"/>
                        <wp:docPr descr="" title="" id="21" name="Picture"/>
                        <a:graphic>
                          <a:graphicData uri="http://schemas.openxmlformats.org/drawingml/2006/picture">
                            <pic:pic>
                              <pic:nvPicPr>
                                <pic:cNvPr descr="25-results_files/figure-docx/fig-iek-comparison-1.png" id="22" name="Picture"/>
                                <pic:cNvPicPr>
                                  <a:picLocks noChangeArrowheads="1" noChangeAspect="1"/>
                                </pic:cNvPicPr>
                              </pic:nvPicPr>
                              <pic:blipFill>
                                <a:blip r:embed="rId2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23"/>
              </w:tc>
            </w:tr>
          </w:tbl>
          <w:p/>
        </w:tc>
        <w:tc>
          <w:tcPr/>
          <w:tbl>
            <w:tblPr>
              <w:tblStyle w:val="Table"/>
              <w:tblW w:type="pct" w:w="4900"/>
              <w:tblLayout w:type="fixed"/>
              <w:tblLook w:firstRow="0" w:lastRow="0" w:firstColumn="0" w:lastColumn="0" w:noHBand="0" w:noVBand="0" w:val="0000"/>
            </w:tblPr>
            <w:tblGrid>
              <w:gridCol w:w="7761"/>
            </w:tblGrid>
            <w:tr>
              <w:tc>
                <w:tcPr/>
                <w:bookmarkStart w:id="27" w:name="fig-iek-comparison-2"/>
                <w:p>
                  <w:pPr>
                    <w:pStyle w:val="Compact"/>
                    <w:jc w:val="center"/>
                    <w:jc w:val="left"/>
                  </w:pPr>
                  <w:r>
                    <w:drawing>
                      <wp:inline>
                        <wp:extent cx="2971800" cy="2377440"/>
                        <wp:effectExtent b="0" l="0" r="0" t="0"/>
                        <wp:docPr descr="" title="" id="25" name="Picture"/>
                        <a:graphic>
                          <a:graphicData uri="http://schemas.openxmlformats.org/drawingml/2006/picture">
                            <pic:pic>
                              <pic:nvPicPr>
                                <pic:cNvPr descr="25-results_files/figure-docx/fig-iek-comparison-2.png" id="26" name="Picture"/>
                                <pic:cNvPicPr>
                                  <a:picLocks noChangeArrowheads="1" noChangeAspect="1"/>
                                </pic:cNvPicPr>
                              </pic:nvPicPr>
                              <pic:blipFill>
                                <a:blip r:embed="rId2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27"/>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28"/>
    <w:p>
      <w:pPr>
        <w:pStyle w:val="BodyText"/>
      </w:pPr>
      <w:r>
        <w:t xml:space="preserve">The analysis revealed a statistically significant, moderate positive correlation between the capacity parameters,</w:t>
      </w:r>
      <w:r>
        <w:t xml:space="preserve"> </w:t>
      </w:r>
      <m:oMath>
        <m:sSub>
          <m:e>
            <m:r>
              <m:t>P</m:t>
            </m:r>
          </m:e>
          <m:sub>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29"/>
    <w:bookmarkStart w:id="40" w:name="Xecaf9e4ead9471844934973fdc01e77ea889a2e"/>
    <w:p>
      <w:pPr>
        <w:pStyle w:val="Heading2"/>
      </w:pPr>
      <w:r>
        <w:t xml:space="preserve">1.3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34" w:name="X7766650a521c07025d9048e5b46ef5cbb460559"/>
    <w:p>
      <w:pPr>
        <w:pStyle w:val="Heading3"/>
      </w:pPr>
      <w:r>
        <w:t xml:space="preserve">1.3.1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u</m:t>
            </m:r>
            <m:r>
              <m:t>p</m:t>
            </m:r>
          </m:sub>
        </m:sSub>
      </m:oMath>
      <w:r>
        <w:t xml:space="preserve">), and P Balance (</w:t>
      </w:r>
      <m:oMath>
        <m:sSub>
          <m:e>
            <m:r>
              <m:t>P</m:t>
            </m:r>
          </m:e>
          <m:sub>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gronomic-responses"/>
          <w:p>
            <w:pPr>
              <w:pStyle w:val="Compact"/>
              <w:jc w:val="center"/>
            </w:pPr>
            <w:r>
              <w:drawing>
                <wp:inline>
                  <wp:extent cx="4620126" cy="6468176"/>
                  <wp:effectExtent b="0" l="0" r="0" t="0"/>
                  <wp:docPr descr="" title="" id="31" name="Picture"/>
                  <a:graphic>
                    <a:graphicData uri="http://schemas.openxmlformats.org/drawingml/2006/picture">
                      <pic:pic>
                        <pic:nvPicPr>
                          <pic:cNvPr descr="25-results_files/figure-docx/fig-agronomic-responses-1.png" id="32" name="Picture"/>
                          <pic:cNvPicPr>
                            <a:picLocks noChangeArrowheads="1" noChangeAspect="1"/>
                          </pic:cNvPicPr>
                        </pic:nvPicPr>
                        <pic:blipFill>
                          <a:blip r:embed="rId3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33"/>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t>r</m:t>
            </m:r>
            <m:r>
              <m:t>e</m:t>
            </m:r>
            <m:r>
              <m:t>l</m:t>
            </m:r>
          </m:sub>
        </m:sSub>
      </m:oMath>
      <w:r>
        <w:t xml:space="preserve">) provides a broader context, showing how yields at each site compare to the national average.</w:t>
      </w:r>
    </w:p>
    <w:p>
      <w:pPr>
        <w:pStyle w:val="BodyText"/>
      </w:pPr>
      <w:r>
        <w:rPr>
          <w:b/>
          <w:bCs/>
        </w:rPr>
        <w:t xml:space="preserve">P Uptake (</w:t>
      </w:r>
      <m:oMath>
        <m:sSub>
          <m:e>
            <m:r>
              <m:t>P</m:t>
            </m:r>
          </m:e>
          <m:sub>
            <m:r>
              <m:t>u</m:t>
            </m:r>
            <m:r>
              <m:t>p</m:t>
            </m:r>
          </m:sub>
        </m:sSub>
      </m:oMath>
      <w:r>
        <w:t xml:space="preserve">): P uptake by crops followed a similar trend to yield, increasing with fertilization, often continuing to increase at the highest fertilization levels, suggesting luxury consumption.</w:t>
      </w:r>
    </w:p>
    <w:p>
      <w:pPr>
        <w:pStyle w:val="BodyText"/>
      </w:pPr>
      <w:r>
        <w:rPr>
          <w:b/>
          <w:bCs/>
        </w:rPr>
        <w:t xml:space="preserve">P Balance (</w:t>
      </w:r>
      <m:oMath>
        <m:sSub>
          <m:e>
            <m:r>
              <m:t>P</m:t>
            </m:r>
          </m:e>
          <m:sub>
            <m:r>
              <m:t>b</m:t>
            </m:r>
            <m:r>
              <m:t>a</m:t>
            </m:r>
            <m:r>
              <m:t>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34"/>
    <w:bookmarkStart w:id="39" w:name="Xf1b1c7e5b0bdd9bd952a6bec2c8d4ca508e5273"/>
    <w:p>
      <w:pPr>
        <w:pStyle w:val="Heading3"/>
      </w:pPr>
      <w:r>
        <w:t xml:space="preserve">1.3.2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soil-parameters"/>
          <w:p>
            <w:pPr>
              <w:pStyle w:val="Compact"/>
              <w:jc w:val="center"/>
            </w:pPr>
            <w:r>
              <w:drawing>
                <wp:inline>
                  <wp:extent cx="4620126" cy="6468176"/>
                  <wp:effectExtent b="0" l="0" r="0" t="0"/>
                  <wp:docPr descr="" title="" id="36" name="Picture"/>
                  <a:graphic>
                    <a:graphicData uri="http://schemas.openxmlformats.org/drawingml/2006/picture">
                      <pic:pic>
                        <pic:nvPicPr>
                          <pic:cNvPr descr="25-results_files/figure-docx/fig-soil-parameters-1.png" id="37" name="Picture"/>
                          <pic:cNvPicPr>
                            <a:picLocks noChangeArrowheads="1" noChangeAspect="1"/>
                          </pic:cNvPicPr>
                        </pic:nvPicPr>
                        <pic:blipFill>
                          <a:blip r:embed="rId3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38"/>
        </w:tc>
      </w:tr>
    </w:tbl>
    <w:p>
      <w:pPr>
        <w:pStyle w:val="BodyText"/>
      </w:pPr>
      <w:r>
        <w:rPr>
          <w:b/>
          <w:bCs/>
        </w:rPr>
        <w:t xml:space="preserve">Standard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t>d</m:t>
            </m:r>
            <m:r>
              <m:t>e</m:t>
            </m:r>
            <m:r>
              <m:t>s</m:t>
            </m:r>
            <m:r>
              <m:t>o</m:t>
            </m:r>
            <m:r>
              <m:t>r</m:t>
            </m:r>
            <m:r>
              <m:t>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t>d</m:t>
            </m:r>
            <m:r>
              <m:t>e</m:t>
            </m:r>
            <m:r>
              <m:t>s</m:t>
            </m:r>
            <m:r>
              <m:t>o</m:t>
            </m:r>
            <m:r>
              <m:t>r</m:t>
            </m:r>
            <m:r>
              <m:t>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t>d</m:t>
            </m:r>
            <m:r>
              <m:t>e</m:t>
            </m:r>
            <m:r>
              <m:t>s</m:t>
            </m:r>
            <m:r>
              <m:t>o</m:t>
            </m:r>
            <m:r>
              <m:t>r</m:t>
            </m:r>
            <m:r>
              <m:t>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39"/>
    <w:bookmarkEnd w:id="40"/>
    <w:bookmarkStart w:id="42" w:name="sec-p-params-soil-props"/>
    <w:p>
      <w:pPr>
        <w:pStyle w:val="Heading2"/>
      </w:pPr>
      <w:r>
        <w:t xml:space="preserve">1.4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soil-prop-models"/>
          <w:p>
            <w:pPr>
              <w:jc w:val="center"/>
            </w:pPr>
            <w:pPr>
              <w:jc w:val="left"/>
              <w:spacing w:before="200"/>
              <w:pStyle w:val="ImageCaption"/>
            </w:pPr>
            <w:r>
              <w:t xml:space="preserve">Table 1: Results of linear mixed-effects models predicting P parameters from intrinsic soil properties</w:t>
            </w:r>
            <w:r>
              <w:t xml:space="preserve"> </w:t>
            </w:r>
            <w:r>
              <w:rPr>
                <w:b/>
                <w:bCs/>
              </w:rPr>
              <w:t xml:space="preserve">?@tbl-variables</w:t>
            </w:r>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200"/>
              <w:gridCol w:w="1560"/>
              <w:gridCol w:w="1200"/>
              <w:gridCol w:w="1200"/>
              <w:gridCol w:w="1320"/>
              <w:gridCol w:w="1440"/>
            </w:tblGrid>
            <w:tr>
              <w:trPr>
                <w:tblHeader w:val="on"/>
              </w:trPr>
              <w:tc>
                <w:tcPr/>
                <w:p>
                  <w:pPr>
                    <w:pStyle w:val="Compact"/>
                    <w:jc w:val="left"/>
                    <w:jc w:val="center"/>
                  </w:pPr>
                  <w:r>
                    <w:t xml:space="preserve">Predictor</w:t>
                  </w:r>
                </w:p>
              </w:tc>
              <w:tc>
                <w:tcPr/>
                <w:p>
                  <w:pPr>
                    <w:pStyle w:val="Compact"/>
                    <w:jc w:val="left"/>
                    <w:jc w:val="center"/>
                  </w:pPr>
                  <m:oMath>
                    <m:sSub>
                      <m:e>
                        <m:r>
                          <m:t>P</m:t>
                        </m:r>
                      </m:e>
                      <m:sub>
                        <m:r>
                          <m:t>d</m:t>
                        </m:r>
                        <m:r>
                          <m:t>e</m:t>
                        </m:r>
                        <m:r>
                          <m:t>s</m:t>
                        </m:r>
                        <m:r>
                          <m:t>o</m:t>
                        </m:r>
                        <m:r>
                          <m:t>r</m:t>
                        </m:r>
                        <m:r>
                          <m:t>b</m:t>
                        </m:r>
                      </m:sub>
                    </m:sSub>
                  </m:oMath>
                </w:p>
              </w:tc>
              <w:tc>
                <w:tcPr/>
                <w:p>
                  <w:pPr>
                    <w:pStyle w:val="Compact"/>
                    <w:jc w:val="left"/>
                    <w:jc w:val="center"/>
                  </w:pPr>
                  <m:oMath>
                    <m:r>
                      <m:t>k</m:t>
                    </m:r>
                  </m:oMath>
                </w:p>
              </w:tc>
              <w:tc>
                <w:tcPr/>
                <w:p>
                  <w:pPr>
                    <w:pStyle w:val="Compact"/>
                    <w:jc w:val="left"/>
                    <w:jc w:val="center"/>
                  </w:pPr>
                  <m:oMath>
                    <m:sSub>
                      <m:e>
                        <m:r>
                          <m:t>J</m:t>
                        </m:r>
                      </m:e>
                      <m:sub>
                        <m:r>
                          <m:t>0</m:t>
                        </m:r>
                      </m:sub>
                    </m:sSub>
                  </m:oMath>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0.393</w:t>
                  </w:r>
                </w:p>
              </w:tc>
              <w:tc>
                <w:tcPr/>
                <w:p>
                  <w:pPr>
                    <w:pStyle w:val="Compact"/>
                    <w:jc w:val="left"/>
                    <w:jc w:val="center"/>
                  </w:pPr>
                  <w:r>
                    <w:t xml:space="preserve">0.212</w:t>
                  </w:r>
                </w:p>
              </w:tc>
              <w:tc>
                <w:tcPr/>
                <w:p>
                  <w:pPr>
                    <w:pStyle w:val="Compact"/>
                    <w:jc w:val="left"/>
                    <w:jc w:val="center"/>
                  </w:pPr>
                  <w:r>
                    <w:t xml:space="preserve">0.368</w:t>
                  </w:r>
                </w:p>
              </w:tc>
              <w:tc>
                <w:tcPr/>
                <w:p>
                  <w:pPr>
                    <w:pStyle w:val="Compact"/>
                    <w:jc w:val="left"/>
                    <w:jc w:val="center"/>
                  </w:pPr>
                  <w:r>
                    <w:t xml:space="preserve">0.362</w:t>
                  </w:r>
                </w:p>
              </w:tc>
              <w:tc>
                <w:tcPr/>
                <w:p>
                  <w:pPr>
                    <w:pStyle w:val="Compact"/>
                    <w:jc w:val="left"/>
                    <w:jc w:val="center"/>
                  </w:pPr>
                  <w:r>
                    <w:t xml:space="preserve">0.494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0.996</w:t>
                  </w:r>
                </w:p>
              </w:tc>
              <w:tc>
                <w:tcPr/>
                <w:p>
                  <w:pPr>
                    <w:pStyle w:val="Compact"/>
                    <w:jc w:val="left"/>
                    <w:jc w:val="center"/>
                  </w:pPr>
                  <w:r>
                    <w:t xml:space="preserve">0.915</w:t>
                  </w:r>
                </w:p>
              </w:tc>
              <w:tc>
                <w:tcPr/>
                <w:p>
                  <w:pPr>
                    <w:pStyle w:val="Compact"/>
                    <w:jc w:val="left"/>
                    <w:jc w:val="center"/>
                  </w:pPr>
                  <w:r>
                    <w:t xml:space="preserve">0.993</w:t>
                  </w:r>
                </w:p>
              </w:tc>
              <w:tc>
                <w:tcPr/>
                <w:p>
                  <w:pPr>
                    <w:pStyle w:val="Compact"/>
                    <w:jc w:val="left"/>
                    <w:jc w:val="center"/>
                  </w:pPr>
                  <w:r>
                    <w:t xml:space="preserve">0.995</w:t>
                  </w:r>
                </w:p>
              </w:tc>
              <w:tc>
                <w:tcPr/>
                <w:p>
                  <w:pPr>
                    <w:pStyle w:val="Compact"/>
                    <w:jc w:val="left"/>
                    <w:jc w:val="center"/>
                  </w:pPr>
                  <w:r>
                    <w:t xml:space="preserve">0.997</w:t>
                  </w:r>
                </w:p>
              </w:tc>
            </w:tr>
          </w:tbl>
          <w:bookmarkEnd w:id="41"/>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t>d</m:t>
            </m:r>
            <m:r>
              <m:t>e</m:t>
            </m:r>
            <m:r>
              <m:t>s</m:t>
            </m:r>
            <m:r>
              <m:t>o</m:t>
            </m:r>
            <m:r>
              <m:t>r</m:t>
            </m:r>
            <m:r>
              <m:t>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t>d</m:t>
            </m:r>
            <m:r>
              <m:t>e</m:t>
            </m:r>
            <m:r>
              <m:t>s</m:t>
            </m:r>
            <m:r>
              <m:t>o</m:t>
            </m:r>
            <m:r>
              <m:t>r</m:t>
            </m:r>
            <m:r>
              <m:t>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42"/>
    <w:bookmarkStart w:id="64" w:name="sec-agronomic-modeling"/>
    <w:p>
      <w:pPr>
        <w:pStyle w:val="Heading2"/>
      </w:pPr>
      <w:r>
        <w:t xml:space="preserve">1.5 Predictive Modeling of Agronomic Outcomes</w:t>
      </w:r>
    </w:p>
    <w:p>
      <w:pPr>
        <w:pStyle w:val="FirstParagraph"/>
      </w:pPr>
      <w:r>
        <w:t xml:space="preserve">To formally evaluate the predictive power of the standard STP methods against the kinetic parameters, a series of linear mixed-effects models were fitted for each of the primary agronomic response variables. To test the central hypotheses of this thesis, the predictive power of the kinetic parameters was directly compared against that of the standard STP methods for several key agronomic outcomes. For each response variable—Normalized Yield (</w:t>
      </w:r>
      <m:oMath>
        <m:sSub>
          <m:e>
            <m:r>
              <m:t>Y</m:t>
            </m:r>
          </m:e>
          <m:sub>
            <m:r>
              <m:t>r</m:t>
            </m:r>
            <m:r>
              <m:t>e</m:t>
            </m:r>
            <m:r>
              <m:t>l</m:t>
            </m:r>
          </m:sub>
        </m:sSub>
      </m:oMath>
      <w:r>
        <w:t xml:space="preserve">), P Uptake (</w:t>
      </w:r>
      <m:oMath>
        <m:sSub>
          <m:e>
            <m:r>
              <m:t>P</m:t>
            </m:r>
          </m:e>
          <m:sub>
            <m:r>
              <m:t>u</m:t>
            </m:r>
            <m:r>
              <m:t>p</m:t>
            </m:r>
          </m:sub>
        </m:sSub>
      </m:oMath>
      <w:r>
        <w:t xml:space="preserve">), and P Balance (</w:t>
      </w:r>
      <m:oMath>
        <m:sSub>
          <m:e>
            <m:r>
              <m:t>P</m:t>
            </m:r>
          </m:e>
          <m:sub>
            <m:r>
              <m:t>b</m:t>
            </m:r>
            <m:r>
              <m:t>a</m:t>
            </m:r>
            <m:r>
              <m:t>l</m:t>
            </m:r>
          </m:sub>
        </m:sSub>
      </m:oMath>
      <w:r>
        <w:t xml:space="preserve">)—a set of competing linear mixed-effects models was constructed.</w:t>
      </w:r>
    </w:p>
    <w:p>
      <w:pPr>
        <w:pStyle w:val="BodyText"/>
      </w:pPr>
      <w:r>
        <w:t xml:space="preserve">To ensure a fair comparison, all models shared an identical random effects structure (</w:t>
      </w:r>
      <w:r>
        <w:rPr>
          <w:rStyle w:val="VerbatimChar"/>
        </w:rPr>
        <w:t xml:space="preserve">(1|year) + (1|Site) + (1|Site:block)</w:t>
      </w:r>
      <w:r>
        <w:t xml:space="preserve">), differing only in their fixed effects. Four distinct models were evaluated:</w:t>
      </w:r>
      <w:r>
        <w:t xml:space="preserve"> </w:t>
      </w:r>
      <m:oMath>
        <m:sSub>
          <m:e>
            <m:r>
              <m:t>P</m:t>
            </m:r>
          </m:e>
          <m:sub>
            <m:r>
              <m:t>C</m:t>
            </m:r>
            <m:sSub>
              <m:e>
                <m:r>
                  <m:t>O</m:t>
                </m:r>
              </m:e>
              <m:sub>
                <m:r>
                  <m:t>2</m:t>
                </m:r>
              </m:sub>
            </m:sSub>
          </m:sub>
        </m:sSub>
      </m:oMath>
      <w:r>
        <w:t xml:space="preserve"> </w:t>
      </w:r>
      <w:r>
        <w:t xml:space="preserve">Model: Used the standard water-soluble P test as the sole predictor.</w:t>
      </w:r>
      <w:r>
        <w:t xml:space="preserve"> </w:t>
      </w:r>
      <m:oMath>
        <m:sSub>
          <m:e>
            <m:r>
              <m:t>P</m:t>
            </m:r>
          </m:e>
          <m:sub>
            <m:r>
              <m:t>A</m:t>
            </m:r>
            <m:r>
              <m:t>A</m:t>
            </m:r>
            <m:r>
              <m:t>E</m:t>
            </m:r>
            <m:r>
              <m:t>10</m:t>
            </m:r>
          </m:sub>
        </m:sSub>
      </m:oMath>
      <w:r>
        <w:t xml:space="preserve"> </w:t>
      </w:r>
      <w:r>
        <w:t xml:space="preserve">Model: Used the standard chelate-extractable P test as the sole predictor.</w:t>
      </w:r>
      <w:r>
        <w:t xml:space="preserve"> </w:t>
      </w:r>
      <w:r>
        <w:rPr>
          <w:b/>
          <w:bCs/>
        </w:rPr>
        <w:t xml:space="preserve">STP Interaction Model:</w:t>
      </w:r>
      <w:r>
        <w:t xml:space="preserve"> </w:t>
      </w:r>
      <w:r>
        <w:t xml:space="preserve">Included both standard tests and their interaction term (</w:t>
      </w:r>
      <m:oMath>
        <m:sSub>
          <m:e>
            <m:r>
              <m:t>P</m:t>
            </m:r>
          </m:e>
          <m:sub>
            <m:r>
              <m:t>C</m:t>
            </m:r>
            <m:sSub>
              <m:e>
                <m:r>
                  <m:t>O</m:t>
                </m:r>
              </m:e>
              <m:sub>
                <m:r>
                  <m:t>2</m:t>
                </m:r>
              </m:sub>
            </m:sSub>
          </m:sub>
        </m:sSub>
        <m:r>
          <m:rPr>
            <m:sty m:val="p"/>
          </m:rPr>
          <m:t>*</m:t>
        </m:r>
        <m:sSub>
          <m:e>
            <m:r>
              <m:t>P</m:t>
            </m:r>
          </m:e>
          <m:sub>
            <m:r>
              <m:t>A</m:t>
            </m:r>
            <m:r>
              <m:t>A</m:t>
            </m:r>
            <m:r>
              <m:t>E</m:t>
            </m:r>
            <m:r>
              <m:t>10</m:t>
            </m:r>
          </m:sub>
        </m:sSub>
      </m:oMath>
      <w:r>
        <w:t xml:space="preserve">) to capture their combined effect.</w:t>
      </w:r>
      <w:r>
        <w:t xml:space="preserve"> </w:t>
      </w:r>
      <w:r>
        <w:rPr>
          <w:b/>
          <w:bCs/>
        </w:rPr>
        <w:t xml:space="preserve">Kinetic Model:</w:t>
      </w:r>
      <w:r>
        <w:t xml:space="preserve"> </w:t>
      </w:r>
      <w:r>
        <w:t xml:space="preserve">Used the log-transformed desorbable P pool (</w:t>
      </w:r>
      <m:oMath>
        <m:r>
          <m:t>l</m:t>
        </m:r>
        <m:r>
          <m:t>o</m:t>
        </m:r>
        <m:r>
          <m:t>g</m:t>
        </m:r>
        <m:r>
          <m:rPr>
            <m:sty m:val="p"/>
          </m:rPr>
          <m:t>(</m:t>
        </m:r>
        <m:sSub>
          <m:e>
            <m:r>
              <m:t>P</m:t>
            </m:r>
          </m:e>
          <m:sub>
            <m:r>
              <m:t>d</m:t>
            </m:r>
            <m:r>
              <m:t>e</m:t>
            </m:r>
            <m:r>
              <m:t>s</m:t>
            </m:r>
            <m:r>
              <m:t>o</m:t>
            </m:r>
            <m:r>
              <m:t>r</m:t>
            </m:r>
            <m:r>
              <m:t>b</m:t>
            </m:r>
          </m:sub>
        </m:sSub>
        <m:r>
          <m:rPr>
            <m:sty m:val="p"/>
          </m:rPr>
          <m:t>)</m:t>
        </m:r>
      </m:oMath>
      <w:r>
        <w:t xml:space="preserve">), the rate constant (</w:t>
      </w:r>
      <w:r>
        <w:rPr>
          <w:i/>
          <w:iCs/>
        </w:rPr>
        <w:t xml:space="preserve">k</w:t>
      </w:r>
      <w:r>
        <w:t xml:space="preserve">), and their interaction (</w:t>
      </w:r>
      <m:oMath>
        <m:sSub>
          <m:e>
            <m:r>
              <m:t>J</m:t>
            </m:r>
          </m:e>
          <m:sub>
            <m:r>
              <m:t>0</m:t>
            </m:r>
          </m:sub>
        </m:sSub>
      </m:oMath>
      <w:r>
        <w:t xml:space="preserve">) as predictors.</w:t>
      </w:r>
    </w:p>
    <w:p>
      <w:pPr>
        <w:pStyle w:val="BodyText"/>
      </w:pPr>
      <w:r>
        <w:t xml:space="preserve">The performance of these models for each agronomic outcome is presented in the following sections.</w:t>
      </w:r>
    </w:p>
    <w:bookmarkStart w:id="51" w:name="anomaly-in-the-cadenazzo-yield-data"/>
    <w:p>
      <w:pPr>
        <w:pStyle w:val="Heading3"/>
      </w:pPr>
      <w:r>
        <w:t xml:space="preserve">1.5.1 Anomaly in the Cadenazzo Yield Data</w:t>
      </w:r>
    </w:p>
    <w:p>
      <w:pPr>
        <w:pStyle w:val="FirstParagraph"/>
      </w:pPr>
      <w:r>
        <w:t xml:space="preserve">A preliminary visual analysis of the agronomic data revealed a significant anomaly at the Cadenazzo (CAD) site. As shown in</w:t>
      </w:r>
      <w:r>
        <w:t xml:space="preserve"> </w:t>
      </w:r>
      <w:hyperlink w:anchor="fig-yield-comparison">
        <w:r>
          <w:rPr>
            <w:rStyle w:val="Hyperlink"/>
          </w:rPr>
          <w:t xml:space="preserve">Figure 6</w:t>
        </w:r>
      </w:hyperlink>
      <w:r>
        <w:t xml:space="preserve">, the Cadenazzo site exhibited substantially higher overall yields than all other locations. More critically, the yield response to P fertilization did not follow the expected agronomic trend. The zero-fertilizer treatment (</w:t>
      </w:r>
      <w:r>
        <w:rPr>
          <w:rStyle w:val="VerbatimChar"/>
        </w:rPr>
        <w:t xml:space="preserve">P0</w:t>
      </w:r>
      <w:r>
        <w:t xml:space="preserve">) showed the highest median yield, while the surplus treatment (</w:t>
      </w:r>
      <w:r>
        <w:rPr>
          <w:rStyle w:val="VerbatimChar"/>
        </w:rPr>
        <w:t xml:space="preserve">P166</w:t>
      </w:r>
      <w:r>
        <w:t xml:space="preserve">) was among the lowest.</w:t>
      </w:r>
    </w:p>
    <w:p>
      <w:pPr>
        <w:pStyle w:val="BodyText"/>
      </w:pPr>
      <w:r>
        <w:t xml:space="preserve">A simple label swap between</w:t>
      </w:r>
      <w:r>
        <w:t xml:space="preserve"> </w:t>
      </w:r>
      <w:r>
        <w:rPr>
          <w:rStyle w:val="VerbatimChar"/>
        </w:rPr>
        <w:t xml:space="preserve">P0</w:t>
      </w:r>
      <w:r>
        <w:t xml:space="preserve"> </w:t>
      </w:r>
      <w:r>
        <w:t xml:space="preserve">and</w:t>
      </w:r>
      <w:r>
        <w:t xml:space="preserve"> </w:t>
      </w:r>
      <w:r>
        <w:rPr>
          <w:rStyle w:val="VerbatimChar"/>
        </w:rPr>
        <w:t xml:space="preserve">P166</w:t>
      </w:r>
      <w:r>
        <w:t xml:space="preserve"> </w:t>
      </w:r>
      <w:r>
        <w:t xml:space="preserve">was hypothesized and tested (</w:t>
      </w:r>
      <w:hyperlink w:anchor="fig-yield-cadenazzo-fix">
        <w:r>
          <w:rPr>
            <w:rStyle w:val="Hyperlink"/>
          </w:rPr>
          <w:t xml:space="preserve">Figure 7</w:t>
        </w:r>
      </w:hyperlink>
      <w:r>
        <w:t xml:space="preserve">). While this correction established a more monotonic trend, the resulting pattern remained questionable, with the corrected</w:t>
      </w:r>
      <w:r>
        <w:t xml:space="preserve"> </w:t>
      </w:r>
      <w:r>
        <w:rPr>
          <w:rStyle w:val="VerbatimChar"/>
        </w:rPr>
        <w:t xml:space="preserve">P166</w:t>
      </w:r>
      <w:r>
        <w:t xml:space="preserve"> </w:t>
      </w:r>
      <w:r>
        <w:t xml:space="preserve">yield being inexplicably higher than the</w:t>
      </w:r>
      <w:r>
        <w:t xml:space="preserve"> </w:t>
      </w:r>
      <w:r>
        <w:rPr>
          <w:rStyle w:val="VerbatimChar"/>
        </w:rPr>
        <w:t xml:space="preserve">P100</w:t>
      </w:r>
      <w:r>
        <w:t xml:space="preserve"> </w:t>
      </w:r>
      <w:r>
        <w:t xml:space="preserve">and</w:t>
      </w:r>
      <w:r>
        <w:t xml:space="preserve"> </w:t>
      </w:r>
      <w:r>
        <w:rPr>
          <w:rStyle w:val="VerbatimChar"/>
        </w:rPr>
        <w:t xml:space="preserve">P133</w:t>
      </w:r>
      <w:r>
        <w:t xml:space="preserve"> </w:t>
      </w:r>
      <w:r>
        <w:t xml:space="preserve">treatments, which is not a typical biological response.</w:t>
      </w:r>
    </w:p>
    <w:p>
      <w:pPr>
        <w:pStyle w:val="BodyText"/>
      </w:pPr>
      <w:r>
        <w:t xml:space="preserve">Unfortunately, a deeper investigation into the cause of this anomaly was impossible, as the corresponding soil analysis data (STPs, organic carbon, etc.) for the Cadenazzo site were unavailable due to sample loss. Without this data, it cannot be determined whether the issue stems from a persistent micro-site anomaly, a more complex data recording error, or other unknown factors. Given these unresolved inconsistencies and the site’s unusually high productivity, the Cadenazzo data was retained in the models but is recognized as a significant source of unexplained variance that likely contributed to the poor predictive performance of all models for yield-related metrics like</w:t>
      </w:r>
      <w:r>
        <w:t xml:space="preserve">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6" w:name="fig-yield-comparison"/>
          <w:p>
            <w:pPr>
              <w:pStyle w:val="Compact"/>
              <w:jc w:val="center"/>
            </w:pPr>
            <w:r>
              <w:drawing>
                <wp:inline>
                  <wp:extent cx="4620126" cy="3696101"/>
                  <wp:effectExtent b="0" l="0" r="0" t="0"/>
                  <wp:docPr descr="" title="" id="44" name="Picture"/>
                  <a:graphic>
                    <a:graphicData uri="http://schemas.openxmlformats.org/drawingml/2006/picture">
                      <pic:pic>
                        <pic:nvPicPr>
                          <pic:cNvPr descr="25-results_files/figure-docx/fig-yield-comparison-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dry matter yield across P fertilization treatments, faceted by experimental site, highlighting the anomalous pattern at Cadenazzo (CAD).</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yield-cadenazzo-fix"/>
          <w:p>
            <w:pPr>
              <w:pStyle w:val="Compact"/>
              <w:jc w:val="center"/>
            </w:pPr>
            <w:r>
              <w:drawing>
                <wp:inline>
                  <wp:extent cx="4620126" cy="3696101"/>
                  <wp:effectExtent b="0" l="0" r="0" t="0"/>
                  <wp:docPr descr="" title="" id="48" name="Picture"/>
                  <a:graphic>
                    <a:graphicData uri="http://schemas.openxmlformats.org/drawingml/2006/picture">
                      <pic:pic>
                        <pic:nvPicPr>
                          <pic:cNvPr descr="25-results_files/figure-docx/fig-yield-cadenazzo-fix-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Cadenazzo yields with original and swapped (P0 &lt;&gt; P166) treatment labels.</w:t>
            </w:r>
          </w:p>
          <w:bookmarkEnd w:id="50"/>
        </w:tc>
      </w:tr>
    </w:tbl>
    <w:bookmarkEnd w:id="51"/>
    <w:bookmarkStart w:id="53" w:name="predicting-site-normalized-yield-y_norm"/>
    <w:p>
      <w:pPr>
        <w:pStyle w:val="Heading3"/>
      </w:pPr>
      <w:r>
        <w:t xml:space="preserve">1.5.2 Predicting Site-Normalized Yield (</w:t>
      </w:r>
      <m:oMath>
        <m:sSub>
          <m:e>
            <m:r>
              <m:t>Y</m:t>
            </m:r>
          </m:e>
          <m:sub>
            <m:r>
              <m:t>n</m:t>
            </m:r>
            <m:r>
              <m:t>o</m:t>
            </m:r>
            <m:r>
              <m:t>r</m:t>
            </m:r>
            <m:r>
              <m:t>m</m:t>
            </m:r>
          </m:sub>
        </m:sSub>
      </m:oMath>
      <w:r>
        <w:t xml:space="preserve">)</w:t>
      </w:r>
    </w:p>
    <w:p>
      <w:pPr>
        <w:pStyle w:val="FirstParagraph"/>
      </w:pPr>
      <w:r>
        <w:t xml:space="preserve">The analysis reveals a clear and striking difference between the predictive power of the standard STP methods and the kinetic parameters for site-normalized yield, as seen in</w:t>
      </w:r>
      <w:r>
        <w:t xml:space="preserve"> </w:t>
      </w:r>
      <w:hyperlink w:anchor="tbl-ynorm-model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ynorm-models"/>
          <w:p>
            <w:pPr>
              <w:jc w:val="center"/>
            </w:pPr>
            <w:pPr>
              <w:jc w:val="left"/>
              <w:spacing w:before="200"/>
              <w:pStyle w:val="ImageCaption"/>
            </w:pPr>
            <w:r>
              <w:t xml:space="preserve">Table 2: Results of linear mixed-effects models predicting Site-Normalized Yield (</w:t>
            </w:r>
            <m:oMath>
              <m:sSub>
                <m:e>
                  <m:r>
                    <m:t>Y</m:t>
                  </m:r>
                </m:e>
                <m:sub>
                  <m:r>
                    <m:t>n</m:t>
                  </m:r>
                  <m:r>
                    <m:t>o</m:t>
                  </m:r>
                  <m:r>
                    <m:t>r</m:t>
                  </m:r>
                  <m:r>
                    <m:t>m</m:t>
                  </m:r>
                </m:sub>
              </m:sSub>
            </m:oMath>
            <w:r>
              <w:t xml:space="preserve">).</w:t>
            </w:r>
          </w:p>
          <w:tbl>
            <w:tblPr>
              <w:tblStyle w:val="Table"/>
              <w:tblW w:type="pct" w:w="5000"/>
              <w:tblLayout w:type="fixed"/>
              <w:tblLook w:firstRow="1" w:lastRow="0" w:firstColumn="0" w:lastColumn="0" w:noHBand="0" w:noVBand="0" w:val="0020"/>
            </w:tblPr>
            <w:tblGrid>
              <w:gridCol w:w="2956"/>
              <w:gridCol w:w="1161"/>
              <w:gridCol w:w="1267"/>
              <w:gridCol w:w="1689"/>
              <w:gridCol w:w="844"/>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1.059***</w:t>
                  </w:r>
                </w:p>
              </w:tc>
              <w:tc>
                <w:tcPr/>
                <w:p>
                  <w:pPr>
                    <w:pStyle w:val="Compact"/>
                    <w:jc w:val="left"/>
                    <w:jc w:val="center"/>
                  </w:pPr>
                  <w:r>
                    <w:t xml:space="preserve">0.532***</w:t>
                  </w:r>
                </w:p>
              </w:tc>
              <w:tc>
                <w:tcPr/>
                <w:p>
                  <w:pPr>
                    <w:pStyle w:val="Compact"/>
                    <w:jc w:val="left"/>
                    <w:jc w:val="center"/>
                  </w:pPr>
                  <w:r>
                    <w:t xml:space="preserve">1.096***</w:t>
                  </w:r>
                </w:p>
              </w:tc>
              <w:tc>
                <w:tcPr/>
                <w:p>
                  <w:pPr>
                    <w:pStyle w:val="Compact"/>
                    <w:jc w:val="left"/>
                    <w:jc w:val="center"/>
                  </w:pPr>
                  <w:r>
                    <w:t xml:space="preserve">0.980</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0.931</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-0.063</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0.120***</w:t>
                  </w:r>
                </w:p>
              </w:tc>
              <w:tc>
                <w:tcPr/>
                <w:p>
                  <w:pPr>
                    <w:pStyle w:val="Compact"/>
                    <w:jc w:val="left"/>
                    <w:jc w:val="center"/>
                  </w:pPr>
                  <w:r>
                    <w:t xml:space="preserve">-0.006</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0.162***</w:t>
                  </w:r>
                </w:p>
              </w:tc>
              <w:tc>
                <w:tcPr/>
                <w:p>
                  <w:pPr>
                    <w:pStyle w:val="Compact"/>
                  </w:pPr>
                </w:p>
              </w:tc>
              <w:tc>
                <w:tcPr/>
                <w:p>
                  <w:pPr>
                    <w:pStyle w:val="Compact"/>
                    <w:jc w:val="left"/>
                    <w:jc w:val="center"/>
                  </w:pPr>
                  <w:r>
                    <w:t xml:space="preserve">0.137</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0.016</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0.218</w:t>
                  </w:r>
                </w:p>
              </w:tc>
              <w:tc>
                <w:tcPr/>
                <w:p>
                  <w:pPr>
                    <w:pStyle w:val="Compact"/>
                    <w:jc w:val="left"/>
                    <w:jc w:val="center"/>
                  </w:pPr>
                  <w:r>
                    <w:t xml:space="preserve">0.198</w:t>
                  </w:r>
                </w:p>
              </w:tc>
              <w:tc>
                <w:tcPr/>
                <w:p>
                  <w:pPr>
                    <w:pStyle w:val="Compact"/>
                    <w:jc w:val="left"/>
                    <w:jc w:val="center"/>
                  </w:pPr>
                  <w:r>
                    <w:t xml:space="preserve">0.220</w:t>
                  </w:r>
                </w:p>
              </w:tc>
              <w:tc>
                <w:tcPr/>
                <w:p>
                  <w:pPr>
                    <w:pStyle w:val="Compact"/>
                    <w:jc w:val="left"/>
                    <w:jc w:val="center"/>
                  </w:pPr>
                  <w:r>
                    <w:t xml:space="preserve">0.014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0.358</w:t>
                  </w:r>
                </w:p>
              </w:tc>
              <w:tc>
                <w:tcPr/>
                <w:p>
                  <w:pPr>
                    <w:pStyle w:val="Compact"/>
                    <w:jc w:val="left"/>
                    <w:jc w:val="center"/>
                  </w:pPr>
                  <w:r>
                    <w:t xml:space="preserve">0.474</w:t>
                  </w:r>
                </w:p>
              </w:tc>
              <w:tc>
                <w:tcPr/>
                <w:p>
                  <w:pPr>
                    <w:pStyle w:val="Compact"/>
                    <w:jc w:val="left"/>
                    <w:jc w:val="center"/>
                  </w:pPr>
                  <w:r>
                    <w:t xml:space="preserve">0.365</w:t>
                  </w:r>
                </w:p>
              </w:tc>
              <w:tc>
                <w:tcPr/>
                <w:p>
                  <w:pPr>
                    <w:pStyle w:val="Compact"/>
                    <w:jc w:val="left"/>
                    <w:jc w:val="center"/>
                  </w:pPr>
                  <w:r>
                    <w:t xml:space="preserve">0.360</w:t>
                  </w:r>
                </w:p>
              </w:tc>
            </w:tr>
          </w:tbl>
          <w:bookmarkEnd w:id="52"/>
          <w:p/>
        </w:tc>
      </w:tr>
    </w:tbl>
    <w:p>
      <w:pPr>
        <w:pStyle w:val="BodyText"/>
      </w:pPr>
      <w:r>
        <w:t xml:space="preserve">The analysis for site-normalized yield showed that both the</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t>
      </w:r>
      <w:r>
        <w:t xml:space="preserve">models had highly significant coefficients and explained 21.8% and 19.8% of the variance, respectively. The combined STP-interaction model performed best, explaining 22% of the variance. In contrast, the kinetic model had a marginal R² of only 1.4%, and none of its parameters were statistically significant.</w:t>
      </w:r>
    </w:p>
    <w:bookmarkEnd w:id="53"/>
    <w:bookmarkStart w:id="56" w:name="Xe0b402b7183f6a3d6df8442ac2834a5544132c5"/>
    <w:p>
      <w:pPr>
        <w:pStyle w:val="Heading3"/>
      </w:pPr>
      <w:r>
        <w:t xml:space="preserve">1.5.3 Predicting National-Normalized Yield (</w:t>
      </w:r>
      <m:oMath>
        <m:sSub>
          <m:e>
            <m:r>
              <m:t>Y</m:t>
            </m:r>
          </m:e>
          <m:sub>
            <m:r>
              <m:t>r</m:t>
            </m:r>
            <m:r>
              <m:t>e</m:t>
            </m:r>
            <m:r>
              <m:t>l</m:t>
            </m:r>
          </m:sub>
        </m:sSub>
      </m:oMath>
      <w:r>
        <w:t xml:space="preserve">)</w:t>
      </w:r>
    </w:p>
    <w:p>
      <w:pPr>
        <w:pStyle w:val="FirstParagraph"/>
      </w:pPr>
      <w:r>
        <w:t xml:space="preserve">The models predicting national-normalized yield (</w:t>
      </w:r>
      <m:oMath>
        <m:sSub>
          <m:e>
            <m:r>
              <m:t>Y</m:t>
            </m:r>
          </m:e>
          <m:sub>
            <m:r>
              <m:t>r</m:t>
            </m:r>
            <m:r>
              <m:t>e</m:t>
            </m:r>
            <m:r>
              <m:t>l</m:t>
            </m:r>
          </m:sub>
        </m:sSub>
      </m:oMath>
      <w:r>
        <w:t xml:space="preserve">) reveal that both standard and kinetic soil phosphorus tests struggle to explain the variance in crop yields on their own, though standard tests show slightly better performance in this context.</w:t>
      </w:r>
    </w:p>
    <w:tbl>
      <w:tblPr>
        <w:tblStyle w:val="Table"/>
        <w:tblW w:type="pct" w:w="5000"/>
        <w:tblLayout w:type="fixed"/>
        <w:tblLook w:firstRow="0" w:lastRow="0" w:firstColumn="0" w:lastColumn="0" w:noHBand="0" w:noVBand="0" w:val="0000"/>
      </w:tblPr>
      <w:tblGrid>
        <w:gridCol w:w="7920"/>
      </w:tblGrid>
      <w:tr>
        <w:tc>
          <w:tcPr/>
          <w:bookmarkStart w:id="54" w:name="tbl-yrel-models"/>
          <w:p>
            <w:pPr>
              <w:jc w:val="center"/>
            </w:pPr>
            <w:pPr>
              <w:jc w:val="left"/>
              <w:spacing w:before="200"/>
              <w:pStyle w:val="ImageCaption"/>
            </w:pPr>
            <w:r>
              <w:t xml:space="preserve">Table 3: Results of linear mixed-effects models predicting National-Normalized Yield (</w:t>
            </w:r>
            <m:oMath>
              <m:sSub>
                <m:e>
                  <m:r>
                    <m:t>Y</m:t>
                  </m:r>
                </m:e>
                <m:sub>
                  <m:r>
                    <m:t>r</m:t>
                  </m:r>
                  <m:r>
                    <m:t>e</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104.862***</w:t>
                  </w:r>
                </w:p>
              </w:tc>
              <w:tc>
                <w:tcPr/>
                <w:p>
                  <w:pPr>
                    <w:pStyle w:val="Compact"/>
                    <w:jc w:val="left"/>
                    <w:jc w:val="center"/>
                  </w:pPr>
                  <w:r>
                    <w:t xml:space="preserve">75.343***</w:t>
                  </w:r>
                </w:p>
              </w:tc>
              <w:tc>
                <w:tcPr/>
                <w:p>
                  <w:pPr>
                    <w:pStyle w:val="Compact"/>
                    <w:jc w:val="left"/>
                    <w:jc w:val="center"/>
                  </w:pPr>
                  <w:r>
                    <w:t xml:space="preserve">130.274***</w:t>
                  </w:r>
                </w:p>
              </w:tc>
              <w:tc>
                <w:tcPr/>
                <w:p>
                  <w:pPr>
                    <w:pStyle w:val="Compact"/>
                    <w:jc w:val="left"/>
                    <w:jc w:val="center"/>
                  </w:pPr>
                  <w:r>
                    <w:t xml:space="preserve">56.375</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377.498**</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171.507**</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-27.486*</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7.111**</w:t>
                  </w:r>
                </w:p>
              </w:tc>
              <w:tc>
                <w:tcPr/>
                <w:p>
                  <w:pPr>
                    <w:pStyle w:val="Compact"/>
                    <w:jc w:val="left"/>
                    <w:jc w:val="center"/>
                  </w:pPr>
                  <w:r>
                    <w:t xml:space="preserve">-6.537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8.853**</w:t>
                  </w:r>
                </w:p>
              </w:tc>
              <w:tc>
                <w:tcPr/>
                <w:p>
                  <w:pPr>
                    <w:pStyle w:val="Compact"/>
                  </w:pPr>
                </w:p>
              </w:tc>
              <w:tc>
                <w:tcPr/>
                <w:p>
                  <w:pPr>
                    <w:pStyle w:val="Compact"/>
                    <w:jc w:val="left"/>
                    <w:jc w:val="center"/>
                  </w:pPr>
                  <w:r>
                    <w:t xml:space="preserve">23.091</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-3.110</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0.074</w:t>
                  </w:r>
                </w:p>
              </w:tc>
              <w:tc>
                <w:tcPr/>
                <w:p>
                  <w:pPr>
                    <w:pStyle w:val="Compact"/>
                    <w:jc w:val="left"/>
                    <w:jc w:val="center"/>
                  </w:pPr>
                  <w:r>
                    <w:t xml:space="preserve">0.063</w:t>
                  </w:r>
                </w:p>
              </w:tc>
              <w:tc>
                <w:tcPr/>
                <w:p>
                  <w:pPr>
                    <w:pStyle w:val="Compact"/>
                    <w:jc w:val="left"/>
                    <w:jc w:val="center"/>
                  </w:pPr>
                  <w:r>
                    <w:t xml:space="preserve">0.078</w:t>
                  </w:r>
                </w:p>
              </w:tc>
              <w:tc>
                <w:tcPr/>
                <w:p>
                  <w:pPr>
                    <w:pStyle w:val="Compact"/>
                    <w:jc w:val="left"/>
                    <w:jc w:val="center"/>
                  </w:pPr>
                  <w:r>
                    <w:t xml:space="preserve">0.022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0.569</w:t>
                  </w:r>
                </w:p>
              </w:tc>
              <w:tc>
                <w:tcPr/>
                <w:p>
                  <w:pPr>
                    <w:pStyle w:val="Compact"/>
                    <w:jc w:val="left"/>
                    <w:jc w:val="center"/>
                  </w:pPr>
                  <w:r>
                    <w:t xml:space="preserve">0.537</w:t>
                  </w:r>
                </w:p>
              </w:tc>
              <w:tc>
                <w:tcPr/>
                <w:p>
                  <w:pPr>
                    <w:pStyle w:val="Compact"/>
                    <w:jc w:val="left"/>
                    <w:jc w:val="center"/>
                  </w:pPr>
                  <w:r>
                    <w:t xml:space="preserve">0.596</w:t>
                  </w:r>
                </w:p>
              </w:tc>
              <w:tc>
                <w:tcPr/>
                <w:p>
                  <w:pPr>
                    <w:pStyle w:val="Compact"/>
                    <w:jc w:val="left"/>
                    <w:jc w:val="center"/>
                  </w:pPr>
                  <w:r>
                    <w:t xml:space="preserve">0.439</w:t>
                  </w:r>
                </w:p>
              </w:tc>
            </w:tr>
          </w:tbl>
          <w:bookmarkEnd w:id="54"/>
          <w:p/>
        </w:tc>
      </w:tr>
    </w:tbl>
    <w:bookmarkStart w:id="55" w:name="performance-of-standard-stp-methods"/>
    <w:p>
      <w:pPr>
        <w:pStyle w:val="Heading4"/>
      </w:pPr>
      <w:r>
        <w:t xml:space="preserve">1.5.3.1 Performance of Standard STP Methods</w:t>
      </w:r>
    </w:p>
    <w:p>
      <w:pPr>
        <w:pStyle w:val="FirstParagraph"/>
      </w:pPr>
      <w:r>
        <w:t xml:space="preserve">The models based on standard soil tests,</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were significant predictors, explaining 7.4% and 6.3% of the variance in yield, respectively. The model including their interaction term performed slightly better, explaining 7.8% of the variance. The model based on kinetic parameters demonstrated lower predictive power, with a marginal R² of 2.2%. A critical observation across all models is the large discrepancy between the marginal R² (</w:t>
      </w:r>
      <m:oMath>
        <m:sSubSup>
          <m:e>
            <m:r>
              <m:t>R</m:t>
            </m:r>
          </m:e>
          <m:sub>
            <m:r>
              <m:t>m</m:t>
            </m:r>
          </m:sub>
          <m:sup>
            <m:r>
              <m:t>2</m:t>
            </m:r>
          </m:sup>
        </m:sSubSup>
      </m:oMath>
      <w:r>
        <w:t xml:space="preserve">) and the conditional R² (</w:t>
      </w:r>
      <m:oMath>
        <m:sSubSup>
          <m:e>
            <m:r>
              <m:t>R</m:t>
            </m:r>
          </m:e>
          <m:sub>
            <m:r>
              <m:t>c</m:t>
            </m:r>
          </m:sub>
          <m:sup>
            <m:r>
              <m:t>2</m:t>
            </m:r>
          </m:sup>
        </m:sSubSup>
      </m:oMath>
      <w:r>
        <w:t xml:space="preserve">). For instance, in the best-performing STP model, the marginal R² is only 0.078, but the conditional R² is 0.596.</w:t>
      </w:r>
    </w:p>
    <w:bookmarkEnd w:id="55"/>
    <w:bookmarkEnd w:id="56"/>
    <w:bookmarkStart w:id="58" w:name="predicting-p-uptake-p_up"/>
    <w:p>
      <w:pPr>
        <w:pStyle w:val="Heading3"/>
      </w:pPr>
      <w:r>
        <w:t xml:space="preserve">1.5.4 Predicting P-Uptake (</w:t>
      </w:r>
      <m:oMath>
        <m:sSub>
          <m:e>
            <m:r>
              <m:t>P</m:t>
            </m:r>
          </m:e>
          <m:sub>
            <m:r>
              <m:t>u</m:t>
            </m:r>
            <m:r>
              <m:t>p</m:t>
            </m:r>
          </m:sub>
        </m:sSub>
      </m:oMath>
      <w:r>
        <w:t xml:space="preserve">)</w:t>
      </w:r>
    </w:p>
    <w:p>
      <w:pPr>
        <w:pStyle w:val="FirstParagraph"/>
      </w:pPr>
      <w:r>
        <w:t xml:space="preserve">When predicting P-uptake, both the standard and kinetic models demonstrate similarly weak predictive power, with none of the approaches standing out as superior.</w:t>
      </w:r>
    </w:p>
    <w:tbl>
      <w:tblPr>
        <w:tblStyle w:val="Table"/>
        <w:tblW w:type="pct" w:w="5000"/>
        <w:tblLayout w:type="fixed"/>
        <w:tblLook w:firstRow="0" w:lastRow="0" w:firstColumn="0" w:lastColumn="0" w:noHBand="0" w:noVBand="0" w:val="0000"/>
      </w:tblPr>
      <w:tblGrid>
        <w:gridCol w:w="7920"/>
      </w:tblGrid>
      <w:tr>
        <w:tc>
          <w:tcPr/>
          <w:bookmarkStart w:id="57" w:name="tbl-pexport-models"/>
          <w:p>
            <w:pPr>
              <w:jc w:val="center"/>
            </w:pPr>
            <w:pPr>
              <w:jc w:val="left"/>
              <w:spacing w:before="200"/>
              <w:pStyle w:val="ImageCaption"/>
            </w:pPr>
            <w:r>
              <w:t xml:space="preserve">Table 4: Results of linear mixed-effects models predicting P-Export (</w:t>
            </w:r>
            <m:oMath>
              <m:sSub>
                <m:e>
                  <m:r>
                    <m:t>P</m:t>
                  </m:r>
                </m:e>
                <m:sub>
                  <m:r>
                    <m:t>u</m:t>
                  </m:r>
                  <m:r>
                    <m:t>p</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27.522***</w:t>
                  </w:r>
                </w:p>
              </w:tc>
              <w:tc>
                <w:tcPr/>
                <w:p>
                  <w:pPr>
                    <w:pStyle w:val="Compact"/>
                    <w:jc w:val="left"/>
                    <w:jc w:val="center"/>
                  </w:pPr>
                  <w:r>
                    <w:t xml:space="preserve">8.090</w:t>
                  </w:r>
                </w:p>
              </w:tc>
              <w:tc>
                <w:tcPr/>
                <w:p>
                  <w:pPr>
                    <w:pStyle w:val="Compact"/>
                    <w:jc w:val="left"/>
                    <w:jc w:val="center"/>
                  </w:pPr>
                  <w:r>
                    <w:t xml:space="preserve">30.632*</w:t>
                  </w:r>
                </w:p>
              </w:tc>
              <w:tc>
                <w:tcPr/>
                <w:p>
                  <w:pPr>
                    <w:pStyle w:val="Compact"/>
                    <w:jc w:val="left"/>
                    <w:jc w:val="center"/>
                  </w:pPr>
                  <w:r>
                    <w:t xml:space="preserve">29.599***</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11.928</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1.954</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4.824***</w:t>
                  </w:r>
                </w:p>
              </w:tc>
              <w:tc>
                <w:tcPr/>
                <w:p>
                  <w:pPr>
                    <w:pStyle w:val="Compact"/>
                    <w:jc w:val="left"/>
                    <w:jc w:val="center"/>
                  </w:pPr>
                  <w:r>
                    <w:t xml:space="preserve">-0.805</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5.177***</w:t>
                  </w:r>
                </w:p>
              </w:tc>
              <w:tc>
                <w:tcPr/>
                <w:p>
                  <w:pPr>
                    <w:pStyle w:val="Compact"/>
                  </w:pPr>
                </w:p>
              </w:tc>
              <w:tc>
                <w:tcPr/>
                <w:p>
                  <w:pPr>
                    <w:pStyle w:val="Compact"/>
                    <w:jc w:val="left"/>
                    <w:jc w:val="center"/>
                  </w:pPr>
                  <w:r>
                    <w:t xml:space="preserve">8.069</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-0.814</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0.064</w:t>
                  </w:r>
                </w:p>
              </w:tc>
              <w:tc>
                <w:tcPr/>
                <w:p>
                  <w:pPr>
                    <w:pStyle w:val="Compact"/>
                    <w:jc w:val="left"/>
                    <w:jc w:val="center"/>
                  </w:pPr>
                  <w:r>
                    <w:t xml:space="preserve">0.073</w:t>
                  </w:r>
                </w:p>
              </w:tc>
              <w:tc>
                <w:tcPr/>
                <w:p>
                  <w:pPr>
                    <w:pStyle w:val="Compact"/>
                    <w:jc w:val="left"/>
                    <w:jc w:val="center"/>
                  </w:pPr>
                  <w:r>
                    <w:t xml:space="preserve">0.065</w:t>
                  </w:r>
                </w:p>
              </w:tc>
              <w:tc>
                <w:tcPr/>
                <w:p>
                  <w:pPr>
                    <w:pStyle w:val="Compact"/>
                    <w:jc w:val="left"/>
                    <w:jc w:val="center"/>
                  </w:pPr>
                  <w:r>
                    <w:t xml:space="preserve">0.064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0.625</w:t>
                  </w:r>
                </w:p>
              </w:tc>
              <w:tc>
                <w:tcPr/>
                <w:p>
                  <w:pPr>
                    <w:pStyle w:val="Compact"/>
                    <w:jc w:val="left"/>
                    <w:jc w:val="center"/>
                  </w:pPr>
                  <w:r>
                    <w:t xml:space="preserve">0.603</w:t>
                  </w:r>
                </w:p>
              </w:tc>
              <w:tc>
                <w:tcPr/>
                <w:p>
                  <w:pPr>
                    <w:pStyle w:val="Compact"/>
                    <w:jc w:val="left"/>
                    <w:jc w:val="center"/>
                  </w:pPr>
                  <w:r>
                    <w:t xml:space="preserve">0.623</w:t>
                  </w:r>
                </w:p>
              </w:tc>
              <w:tc>
                <w:tcPr/>
                <w:p>
                  <w:pPr>
                    <w:pStyle w:val="Compact"/>
                    <w:jc w:val="left"/>
                    <w:jc w:val="center"/>
                  </w:pPr>
                  <w:r>
                    <w:t xml:space="preserve">0.648</w:t>
                  </w:r>
                </w:p>
              </w:tc>
            </w:tr>
          </w:tbl>
          <w:bookmarkEnd w:id="57"/>
          <w:p/>
        </w:tc>
      </w:tr>
    </w:tbl>
    <w:p>
      <w:pPr>
        <w:pStyle w:val="BodyText"/>
      </w:pPr>
      <w:r>
        <w:t xml:space="preserve">When predicting P-uptake, the individual standard soil tests,</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were significant positive predictors, explaining 6.4% and 7.3% of the variance, respectively. The interaction model did not improve the explained variance. The kinetic model performed on par with the standard individual tests, explaining 6.4% of the variance, though none of its parameters were individually significant. As with yield, a large difference between the marginal and conditional R² values was observed across all models.</w:t>
      </w:r>
    </w:p>
    <w:bookmarkEnd w:id="58"/>
    <w:bookmarkStart w:id="63" w:name="predicting-p-balance-p_bal"/>
    <w:p>
      <w:pPr>
        <w:pStyle w:val="Heading3"/>
      </w:pPr>
      <w:r>
        <w:t xml:space="preserve">1.5.5 Predicting P-Balance (</w:t>
      </w:r>
      <m:oMath>
        <m:sSub>
          <m:e>
            <m:r>
              <m:t>P</m:t>
            </m:r>
          </m:e>
          <m:sub>
            <m:r>
              <m:t>b</m:t>
            </m:r>
            <m:r>
              <m:t>a</m:t>
            </m:r>
            <m:r>
              <m:t>l</m:t>
            </m:r>
          </m:sub>
        </m:sSub>
      </m:oMath>
      <w:r>
        <w:t xml:space="preserve">)</w:t>
      </w:r>
    </w:p>
    <w:p>
      <w:pPr>
        <w:pStyle w:val="FirstParagraph"/>
      </w:pPr>
      <w:r>
        <w:t xml:space="preserve">The prediction of the P-Balance (</w:t>
      </w:r>
      <m:oMath>
        <m:sSub>
          <m:e>
            <m:r>
              <m:t>P</m:t>
            </m:r>
          </m:e>
          <m:sub>
            <m:r>
              <m:t>b</m:t>
            </m:r>
            <m:r>
              <m:t>a</m:t>
            </m:r>
            <m:r>
              <m:t>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59" w:name="tbl-pbalance-models"/>
          <w:p>
            <w:pPr>
              <w:jc w:val="center"/>
            </w:pPr>
            <w:pPr>
              <w:jc w:val="left"/>
              <w:spacing w:before="200"/>
              <w:pStyle w:val="ImageCaption"/>
            </w:pPr>
            <w:r>
              <w:t xml:space="preserve">Table 5: Results of linear mixed-effects models predicting P-Balance (</w:t>
            </w:r>
            <m:oMath>
              <m:sSub>
                <m:e>
                  <m:r>
                    <m:t>P</m:t>
                  </m:r>
                </m:e>
                <m:sub>
                  <m:r>
                    <m:t>b</m:t>
                  </m:r>
                  <m:r>
                    <m:t>a</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0.462</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0.572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0.810</w:t>
                  </w:r>
                </w:p>
              </w:tc>
              <w:tc>
                <w:tcPr/>
                <w:p>
                  <w:pPr>
                    <w:pStyle w:val="Compact"/>
                    <w:jc w:val="left"/>
                    <w:jc w:val="center"/>
                  </w:pPr>
                  <w:r>
                    <w:t xml:space="preserve">0.807</w:t>
                  </w:r>
                </w:p>
              </w:tc>
              <w:tc>
                <w:tcPr/>
                <w:p>
                  <w:pPr>
                    <w:pStyle w:val="Compact"/>
                    <w:jc w:val="left"/>
                    <w:jc w:val="center"/>
                  </w:pPr>
                  <w:r>
                    <w:t xml:space="preserve">0.811</w:t>
                  </w:r>
                </w:p>
              </w:tc>
              <w:tc>
                <w:tcPr/>
                <w:p>
                  <w:pPr>
                    <w:pStyle w:val="Compact"/>
                    <w:jc w:val="left"/>
                    <w:jc w:val="center"/>
                  </w:pPr>
                  <w:r>
                    <w:t xml:space="preserve">0.744</w:t>
                  </w:r>
                </w:p>
              </w:tc>
            </w:tr>
          </w:tbl>
          <w:bookmarkEnd w:id="59"/>
          <w:p/>
        </w:tc>
      </w:tr>
    </w:tbl>
    <w:p>
      <w:pPr>
        <w:pStyle w:val="BodyText"/>
      </w:pPr>
      <w:r>
        <w:t xml:space="preserve">The kinetic model emerged as a strong predictor of the P-Balance, explaining 57.2% of the variance, with the desorbable P pool (</w:t>
      </w:r>
      <m:oMath>
        <m:sSub>
          <m:e>
            <m:r>
              <m:t>P</m:t>
            </m:r>
          </m:e>
          <m:sub>
            <m:r>
              <m:t>d</m:t>
            </m:r>
            <m:r>
              <m:t>e</m:t>
            </m:r>
            <m:r>
              <m:t>s</m:t>
            </m:r>
            <m:r>
              <m:t>o</m:t>
            </m:r>
            <m:r>
              <m:t>r</m:t>
            </m:r>
            <m:r>
              <m:t>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bookmarkStart w:id="62" w:name="refs"/>
    <w:bookmarkStart w:id="61"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60">
        <w:r>
          <w:rPr>
            <w:rStyle w:val="Hyperlink"/>
          </w:rPr>
          <w:t xml:space="preserve">https://doi.org/10.1080/00103624.2013.741896</w:t>
        </w:r>
      </w:hyperlink>
    </w:p>
    <w:bookmarkEnd w:id="61"/>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hyperlink" Id="rId60" Target="https://doi.org/10.1080/00103624.2013.741896"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80/00103624.2013.7418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2026-03-27T15:21:10Z</dcterms:created>
  <dcterms:modified xsi:type="dcterms:W3CDTF">2026-03-27T15:21:10Z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