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82.png" ContentType="image/png"/>
  <Override PartName="/word/media/rId38.png" ContentType="image/png"/>
  <Override PartName="/word/media/rId42.png" ContentType="image/png"/>
  <Override PartName="/word/media/rId27.png" ContentType="image/png"/>
  <Override PartName="/word/media/rId32.png" ContentType="image/png"/>
  <Override PartName="/word/media/rId53.png" ContentType="image/png"/>
  <Override PartName="/word/media/rId6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2026-04-10</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4"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thermodynamic energy state, or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physical mass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elegant, measuring them in natural soils is notoriously difficult.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w:t>
      </w:r>
      <w:r>
        <w:t xml:space="preserve"> </w:t>
      </w:r>
      <w:r>
        <w:t xml:space="preserve">-</w:t>
      </w:r>
      <w:r>
        <w:t xml:space="preserve"> </w:t>
      </w:r>
      <w:r>
        <w:rPr>
          <w:b/>
          <w:bCs/>
        </w:rPr>
        <w:t xml:space="preserve">Olsen P (</w:t>
      </w:r>
      <m:oMath>
        <m:r>
          <m:t>N</m:t>
        </m:r>
        <m:r>
          <m:t>a</m:t>
        </m:r>
        <m:r>
          <m:t>H</m:t>
        </m:r>
        <m:r>
          <m:t>C</m:t>
        </m:r>
        <m:sSub>
          <m:e>
            <m:r>
              <m:t>O</m:t>
            </m:r>
          </m:e>
          <m:sub>
            <m:r>
              <m:t>3</m:t>
            </m:r>
          </m:sub>
        </m:sSub>
      </m:oMath>
      <w:r>
        <w:rPr>
          <w:b/>
          <w:bCs/>
        </w:rPr>
        <w:t xml:space="preserve">, pH 8.5):</w:t>
      </w:r>
      <w:r>
        <w:t xml:space="preserve"> </w:t>
      </w:r>
      <w:r>
        <w:t xml:space="preserve">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w:t>
      </w:r>
      <w:r>
        <w:t xml:space="preserve"> </w:t>
      </w:r>
      <w:r>
        <w:t xml:space="preserve">-</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w:t>
      </w:r>
      <w:r>
        <w:t xml:space="preserve"> </w:t>
      </w:r>
      <w:r>
        <w:t xml:space="preserve">-</w:t>
      </w:r>
      <w:r>
        <w:t xml:space="preserve"> </w:t>
      </w: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 critical analytical flaw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rPr>
          <w:b/>
          <w:bCs/>
        </w:rPr>
        <w:t xml:space="preserve">)</w:t>
      </w:r>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obliterates the native ionic strength of the soil. Consequently, while these methods successfully quantify the physical mass of phosphorus (</w:t>
      </w:r>
      <m:oMath>
        <m:r>
          <m:t>Q</m:t>
        </m:r>
      </m:oMath>
      <w:r>
        <w:t xml:space="preserve">), they destroy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w:t>
      </w:r>
      <w:r>
        <w:t xml:space="preserve"> </w:t>
      </w:r>
      <w:r>
        <w:t xml:space="preserve">“masked”</w:t>
      </w:r>
      <w:r>
        <w:t xml:space="preserve"> </w:t>
      </w:r>
      <w:r>
        <w:t xml:space="preserve">from the root. To resolve this, raw stoichiometric concentrations derived from water extractions must be mathematically corrected via the Davies equation to yield true thermodynamic activity.</w:t>
      </w:r>
    </w:p>
    <w:bookmarkEnd w:id="11"/>
    <w:bookmarkStart w:id="12"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novel dynamic predictor: the</w:t>
      </w:r>
      <w:r>
        <w:t xml:space="preserve"> </w:t>
      </w:r>
      <w:r>
        <w:rPr>
          <w:b/>
          <w:bCs/>
        </w:rPr>
        <w:t xml:space="preserve">Initial Activity Flux (</w:t>
      </w:r>
      <m:oMath>
        <m:sSub>
          <m:e>
            <m:r>
              <m:t>J</m:t>
            </m:r>
          </m:e>
          <m:sub>
            <m:r>
              <m:t>0</m:t>
            </m:r>
          </m:sub>
        </m:sSub>
      </m:oMath>
      <w:r>
        <w:rPr>
          <w:b/>
          <w:bCs/>
        </w:rPr>
        <w:t xml:space="preserve">)</w:t>
      </w:r>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r>
        <w:rPr>
          <w:b/>
          <w:bCs/>
        </w:rPr>
        <w:t xml:space="preserve">?@tbl-terminology</w:t>
      </w:r>
      <w:r>
        <w:t xml:space="preserve"> </w:t>
      </w:r>
      <w:r>
        <w:t xml:space="preserve">maps this transition from classic, operationally defined static tests to the proposed thermodynamic and kinetic parameters.</w:t>
      </w:r>
    </w:p>
    <w:p>
      <w:pPr>
        <w:pStyle w:val="TableCaption"/>
      </w:pPr>
      <w:r>
        <w:t xml:space="preserve">Conceptual mapping of fundamental phosphorus availability factors to their analytical proxies.</w:t>
      </w:r>
    </w:p>
    <w:tbl>
      <w:tblPr>
        <w:tblStyle w:val="Table"/>
        <w:tblW w:type="pct" w:w="5000"/>
        <w:tblLayout w:type="fixed"/>
        <w:tblLook w:firstRow="1" w:lastRow="0" w:firstColumn="0" w:lastColumn="0" w:noHBand="0" w:noVBand="0" w:val="0020"/>
        <w:tblCaption w:val="Conceptual mapping of fundamental phosphorus availability factors to their analytical proxies."/>
      </w:tblPr>
      <w:tblGrid>
        <w:gridCol w:w="1980"/>
        <w:gridCol w:w="1980"/>
        <w:gridCol w:w="1980"/>
        <w:gridCol w:w="1980"/>
      </w:tblGrid>
      <w:tr>
        <w:trPr>
          <w:tblHeader w:val="on"/>
        </w:trPr>
        <w:tc>
          <w:tcPr/>
          <w:p>
            <w:pPr>
              <w:pStyle w:val="Compact"/>
              <w:jc w:val="left"/>
            </w:pPr>
            <w:r>
              <w:t xml:space="preserve">Approach / Framework</w:t>
            </w:r>
          </w:p>
        </w:tc>
        <w:tc>
          <w:tcPr/>
          <w:p>
            <w:pPr>
              <w:pStyle w:val="Compact"/>
              <w:jc w:val="left"/>
            </w:pPr>
            <w:r>
              <w:t xml:space="preserve">Intensity Factor</w:t>
            </w:r>
          </w:p>
        </w:tc>
        <w:tc>
          <w:tcPr/>
          <w:p>
            <w:pPr>
              <w:pStyle w:val="Compact"/>
              <w:jc w:val="left"/>
            </w:pPr>
            <w:r>
              <w:t xml:space="preserve">Quantity (Capacity) Factor</w:t>
            </w:r>
          </w:p>
        </w:tc>
        <w:tc>
          <w:tcPr/>
          <w:p>
            <w:pPr>
              <w:pStyle w:val="Compact"/>
              <w:jc w:val="left"/>
            </w:pPr>
            <w:r>
              <w:t xml:space="preserve">Kinetic Factor</w:t>
            </w:r>
          </w:p>
        </w:tc>
      </w:tr>
      <w:tr>
        <w:tc>
          <w:tcPr/>
          <w:p>
            <w:pPr>
              <w:pStyle w:val="Compact"/>
              <w:jc w:val="left"/>
            </w:pPr>
            <w:r>
              <w:rPr>
                <w:b/>
                <w:bCs/>
              </w:rPr>
              <w:t xml:space="preserve">Theoretical Concept (</w:t>
            </w:r>
            <w:r>
              <w:rPr>
                <w:b/>
                <w:bCs/>
              </w:rPr>
              <w:t xml:space="preserve">Frossard et al. (2000)</w:t>
            </w:r>
            <w:r>
              <w:rPr>
                <w:b/>
                <w:bCs/>
              </w:rPr>
              <w:t xml:space="preserve">)</w:t>
            </w:r>
          </w:p>
        </w:tc>
        <w:tc>
          <w:tcPr/>
          <w:p>
            <w:pPr>
              <w:pStyle w:val="Compact"/>
              <w:jc w:val="left"/>
            </w:pPr>
            <w:r>
              <w:t xml:space="preserve">Chemical activity of P in the soil solution</w:t>
            </w:r>
          </w:p>
        </w:tc>
        <w:tc>
          <w:tcPr/>
          <w:p>
            <w:pPr>
              <w:pStyle w:val="Compact"/>
              <w:jc w:val="left"/>
            </w:pPr>
            <w:r>
              <w:t xml:space="preserve">Pool of solid-phase P that can replenish the solution</w:t>
            </w:r>
          </w:p>
        </w:tc>
        <w:tc>
          <w:tcPr/>
          <w:p>
            <w:pPr>
              <w:pStyle w:val="Compact"/>
              <w:jc w:val="left"/>
            </w:pPr>
            <w:r>
              <w:t xml:space="preserve">Rate of P transfer from the solid to the liquid phase</w:t>
            </w:r>
          </w:p>
        </w:tc>
      </w:tr>
      <w:tr>
        <w:tc>
          <w:tcPr/>
          <w:p>
            <w:pPr>
              <w:pStyle w:val="Compact"/>
              <w:jc w:val="left"/>
            </w:pPr>
            <w:r>
              <w:rPr>
                <w:b/>
                <w:bCs/>
              </w:rPr>
              <w:t xml:space="preserve">Traditional / Static Proxy (GRUD)</w:t>
            </w:r>
          </w:p>
        </w:tc>
        <w:tc>
          <w:tcPr/>
          <w:p>
            <w:pPr>
              <w:pStyle w:val="Compact"/>
              <w:jc w:val="left"/>
            </w:pPr>
            <m:oMath>
              <m:sSub>
                <m:e>
                  <m:r>
                    <m:t>P</m:t>
                  </m:r>
                </m:e>
                <m:sub>
                  <m:r>
                    <m:t>C</m:t>
                  </m:r>
                  <m:sSub>
                    <m:e>
                      <m:r>
                        <m:t>O</m:t>
                      </m:r>
                    </m:e>
                    <m:sub>
                      <m:r>
                        <m:t>2</m:t>
                      </m:r>
                    </m:sub>
                  </m:sSub>
                </m:sub>
              </m:sSub>
            </m:oMath>
            <w:r>
              <w:t xml:space="preserve"> </w:t>
            </w:r>
            <w:r>
              <w:t xml:space="preserve">(Raw Water-soluble Concentration)</w:t>
            </w:r>
          </w:p>
        </w:tc>
        <w:tc>
          <w:tcPr/>
          <w:p>
            <w:pPr>
              <w:pStyle w:val="Compact"/>
              <w:jc w:val="left"/>
            </w:pPr>
            <m:oMath>
              <m:sSub>
                <m:e>
                  <m:r>
                    <m:t>P</m:t>
                  </m:r>
                </m:e>
                <m:sub>
                  <m:r>
                    <m:t>A</m:t>
                  </m:r>
                  <m:r>
                    <m:t>A</m:t>
                  </m:r>
                  <m:r>
                    <m:t>E</m:t>
                  </m:r>
                  <m:r>
                    <m:t>10</m:t>
                  </m:r>
                </m:sub>
              </m:sSub>
            </m:oMath>
            <w:r>
              <w:t xml:space="preserve"> </w:t>
            </w:r>
            <w:r>
              <w:t xml:space="preserve">(Chelate-extractable Mass)</w:t>
            </w:r>
          </w:p>
        </w:tc>
        <w:tc>
          <w:tcPr/>
          <w:p>
            <w:pPr>
              <w:pStyle w:val="Compact"/>
              <w:jc w:val="left"/>
            </w:pPr>
            <w:r>
              <w:rPr>
                <w:i/>
                <w:iCs/>
              </w:rPr>
              <w:t xml:space="preserve">Not Measured</w:t>
            </w:r>
          </w:p>
        </w:tc>
      </w:tr>
      <w:tr>
        <w:tc>
          <w:tcPr/>
          <w:p>
            <w:pPr>
              <w:pStyle w:val="Compact"/>
              <w:jc w:val="left"/>
            </w:pPr>
            <w:r>
              <w:rPr>
                <w:b/>
                <w:bCs/>
              </w:rPr>
              <w:t xml:space="preserve">Dynamic / Thermodynamic Proxy (This Study)</w:t>
            </w:r>
          </w:p>
        </w:tc>
        <w:tc>
          <w:tcPr/>
          <w:p>
            <w:pPr>
              <w:pStyle w:val="Compact"/>
              <w:jc w:val="left"/>
            </w:pPr>
            <w:r>
              <w:t xml:space="preserve">Maximum Thermodynamic Activity (</w:t>
            </w:r>
            <m:oMath>
              <m:sSub>
                <m:e>
                  <m:r>
                    <m:t>a</m:t>
                  </m:r>
                </m:e>
                <m:sub>
                  <m:r>
                    <m:t>m</m:t>
                  </m:r>
                  <m:r>
                    <m:t>a</m:t>
                  </m:r>
                  <m:r>
                    <m:t>x</m:t>
                  </m:r>
                </m:sub>
              </m:sSub>
            </m:oMath>
            <w:r>
              <w:t xml:space="preserve">)</w:t>
            </w:r>
          </w:p>
        </w:tc>
        <w:tc>
          <w:tcPr/>
          <w:p>
            <w:pPr>
              <w:pStyle w:val="Compact"/>
              <w:jc w:val="left"/>
            </w:pPr>
            <m:oMath>
              <m:sSub>
                <m:e>
                  <m:r>
                    <m:t>P</m:t>
                  </m:r>
                </m:e>
                <m:sub>
                  <m:r>
                    <m:t>A</m:t>
                  </m:r>
                  <m:r>
                    <m:t>A</m:t>
                  </m:r>
                  <m:r>
                    <m:t>E</m:t>
                  </m:r>
                  <m:r>
                    <m:t>10</m:t>
                  </m:r>
                </m:sub>
              </m:sSub>
            </m:oMath>
          </w:p>
        </w:tc>
        <w:tc>
          <w:tcPr/>
          <w:p>
            <w:pPr>
              <w:pStyle w:val="Compact"/>
              <w:jc w:val="left"/>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bookmarkStart w:id="13"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superior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rigorously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3"/>
    <w:bookmarkEnd w:id="14"/>
    <w:bookmarkStart w:id="26" w:name="sec-materials-and-methods"/>
    <w:p>
      <w:pPr>
        <w:pStyle w:val="Heading1"/>
      </w:pPr>
      <w:r>
        <w:t xml:space="preserve">2. Materials and Methods</w:t>
      </w:r>
    </w:p>
    <w:bookmarkStart w:id="15"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5"/>
    <w:bookmarkStart w:id="16"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CommentTok"/>
        </w:rPr>
        <w:t xml:space="preserve">#| label: tbl-sites-corrected</w:t>
      </w:r>
      <w:r>
        <w:br/>
      </w:r>
      <w:r>
        <w:rPr>
          <w:rStyle w:val="CommentTok"/>
        </w:rPr>
        <w:t xml:space="preserve">#| tbl-cap: "Soil characteristics of the six long-term experimental sites. Data adapted from Hirte et al. (2021)."</w:t>
      </w:r>
      <w:r>
        <w:br/>
      </w:r>
      <w:r>
        <w:br/>
      </w: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p>
      <w:pPr>
        <w:pStyle w:val="FirstParagraph"/>
      </w:pPr>
      <w:r>
        <w:t xml:space="preserve">Soil samples for this thesis were collected in the year 2022 from the topsoil layer (0-20 cm).</w:t>
      </w:r>
    </w:p>
    <w:bookmarkEnd w:id="16"/>
    <w:bookmarkStart w:id="19"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17"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17"/>
    <w:bookmarkStart w:id="18"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18"/>
    <w:bookmarkEnd w:id="19"/>
    <w:bookmarkStart w:id="25"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2022)</w:t>
      </w:r>
      <w:r>
        <w:t xml:space="preserve">. Primary packages included</w:t>
      </w:r>
      <w:r>
        <w:t xml:space="preserve"> </w:t>
      </w:r>
      <w:r>
        <w:rPr>
          <w:rStyle w:val="VerbatimChar"/>
        </w:rPr>
        <w:t xml:space="preserve">nlme</w:t>
      </w:r>
      <w:r>
        <w:t xml:space="preserve"> </w:t>
      </w:r>
      <w:r>
        <w:t xml:space="preserve">(Pinheiro et al., 2022)</w:t>
      </w:r>
      <w:r>
        <w:t xml:space="preserve"> </w:t>
      </w:r>
      <w:r>
        <w:t xml:space="preserve">for non-linear kinetic modeling,</w:t>
      </w:r>
      <w:r>
        <w:t xml:space="preserve"> </w:t>
      </w:r>
      <w:r>
        <w:rPr>
          <w:rStyle w:val="VerbatimChar"/>
        </w:rPr>
        <w:t xml:space="preserve">lme4</w:t>
      </w:r>
      <w:r>
        <w:t xml:space="preserve"> </w:t>
      </w:r>
      <w:r>
        <w:t xml:space="preserve">(Bates et al., 2015)</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0"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0"/>
    <w:bookmarkStart w:id="21"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1"/>
    <w:bookmarkStart w:id="22"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22"/>
    <w:bookmarkStart w:id="23"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p>
      <w:pPr>
        <w:pStyle w:val="SourceCode"/>
      </w:pPr>
      <w:r>
        <w:rPr>
          <w:rStyle w:val="CommentTok"/>
        </w:rPr>
        <w:t xml:space="preserve">#| label: tbl-variables-updated</w:t>
      </w:r>
      <w:r>
        <w:br/>
      </w:r>
      <w:r>
        <w:rPr>
          <w:rStyle w:val="CommentTok"/>
        </w:rPr>
        <w:t xml:space="preserve">#| tbl-cap: "Description of key variables used in the thermodynamic and agronomic models."</w:t>
      </w:r>
      <w:r>
        <w:br/>
      </w:r>
      <w:r>
        <w:br/>
      </w: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SpecialCharTok"/>
        </w:rPr>
        <w:t xml:space="preserve">\\</w:t>
      </w:r>
      <w:r>
        <w:rPr>
          <w:rStyle w:val="StringTok"/>
        </w:rPr>
        <w:t xml:space="preserve">_hist}$"</w:t>
      </w:r>
      <w:r>
        <w:rPr>
          <w:rStyle w:val="NormalTok"/>
        </w:rPr>
        <w:t xml:space="preserve">, </w:t>
      </w:r>
      <w:r>
        <w:rPr>
          <w:rStyle w:val="StringTok"/>
        </w:rPr>
        <w:t xml:space="preserve">"$Uptake_{rel}$"</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"$a_{max}$"</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"$P_{AAE10}$"</w:t>
      </w:r>
      <w:r>
        <w:rPr>
          <w:rStyle w:val="NormalTok"/>
        </w:rPr>
        <w:t xml:space="preserve">, </w:t>
      </w:r>
      <w:r>
        <w:rPr>
          <w:rStyle w:val="StringTok"/>
        </w:rPr>
        <w:t xml:space="preserve">"$</w:t>
      </w:r>
      <w:r>
        <w:rPr>
          <w:rStyle w:val="SpecialCharTok"/>
        </w:rPr>
        <w:t xml:space="preserve">\\</w:t>
      </w:r>
      <w:r>
        <w:rPr>
          <w:rStyle w:val="StringTok"/>
        </w:rPr>
        <w:t xml:space="preserve">text{PBC}$"</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 (Historic)"</w:t>
      </w:r>
      <w:r>
        <w:rPr>
          <w:rStyle w:val="NormalTok"/>
        </w:rPr>
        <w:t xml:space="preserve">, </w:t>
      </w:r>
      <w:r>
        <w:rPr>
          <w:rStyle w:val="StringTok"/>
        </w:rPr>
        <w:t xml:space="preserve">"Relative P Uptake"</w:t>
      </w:r>
      <w:r>
        <w:rPr>
          <w:rStyle w:val="NormalTok"/>
        </w:rPr>
        <w:t xml:space="preserve">, </w:t>
      </w:r>
      <w:r>
        <w:rPr>
          <w:rStyle w:val="StringTok"/>
        </w:rPr>
        <w:t xml:space="preserve">"Cumulative 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"Maximum Activity (Intensity)"</w:t>
      </w:r>
      <w:r>
        <w:rPr>
          <w:rStyle w:val="NormalTok"/>
        </w:rPr>
        <w:t xml:space="preserve">, </w:t>
      </w:r>
      <w:r>
        <w:rPr>
          <w:rStyle w:val="StringTok"/>
        </w:rPr>
        <w:t xml:space="preserve">"Activity Flux"</w:t>
      </w:r>
      <w:r>
        <w:rPr>
          <w:rStyle w:val="NormalTok"/>
        </w:rPr>
        <w:t xml:space="preserve">, </w:t>
      </w:r>
      <w:r>
        <w:br/>
      </w:r>
      <w:r>
        <w:rPr>
          <w:rStyle w:val="NormalTok"/>
        </w:rPr>
        <w:t xml:space="preserve">                 </w:t>
      </w:r>
      <w:r>
        <w:rPr>
          <w:rStyle w:val="StringTok"/>
        </w:rPr>
        <w:t xml:space="preserve">"Standard Mass (Quantity)"</w:t>
      </w:r>
      <w:r>
        <w:rPr>
          <w:rStyle w:val="NormalTok"/>
        </w:rPr>
        <w:t xml:space="preserve">, </w:t>
      </w:r>
      <w:r>
        <w:rPr>
          <w:rStyle w:val="StringTok"/>
        </w:rPr>
        <w:t xml:space="preserve">"Phosphorus Buffering Capacity"</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br/>
      </w:r>
      <w:r>
        <w:rPr>
          <w:rStyle w:val="NormalTok"/>
        </w:rPr>
        <w:t xml:space="preserve">           </w:t>
      </w:r>
      <w:r>
        <w:rPr>
          <w:rStyle w:val="StringTok"/>
        </w:rPr>
        <w:t xml:space="preserve">"min⁻¹"</w:t>
      </w:r>
      <w:r>
        <w:rPr>
          <w:rStyle w:val="NormalTok"/>
        </w:rPr>
        <w:t xml:space="preserve">, </w:t>
      </w:r>
      <w:r>
        <w:rPr>
          <w:rStyle w:val="StringTok"/>
        </w:rPr>
        <w:t xml:space="preserve">"µM"</w:t>
      </w:r>
      <w:r>
        <w:rPr>
          <w:rStyle w:val="NormalTok"/>
        </w:rPr>
        <w:t xml:space="preserve">, </w:t>
      </w:r>
      <w:r>
        <w:rPr>
          <w:rStyle w:val="StringTok"/>
        </w:rPr>
        <w:t xml:space="preserve">"µM min⁻¹"</w:t>
      </w:r>
      <w:r>
        <w:rPr>
          <w:rStyle w:val="NormalTok"/>
        </w:rPr>
        <w:t xml:space="preserve">, </w:t>
      </w:r>
      <w:r>
        <w:br/>
      </w:r>
      <w:r>
        <w:rPr>
          <w:rStyle w:val="NormalTok"/>
        </w:rPr>
        <w:t xml:space="preserve">           </w:t>
      </w:r>
      <w:r>
        <w:rPr>
          <w:rStyle w:val="StringTok"/>
        </w:rPr>
        <w:t xml:space="preserve">"mg P kg⁻¹"</w:t>
      </w:r>
      <w:r>
        <w:rPr>
          <w:rStyle w:val="NormalTok"/>
        </w:rPr>
        <w:t xml:space="preserve">, </w:t>
      </w:r>
      <w:r>
        <w:rPr>
          <w:rStyle w:val="StringTok"/>
        </w:rPr>
        <w:t xml:space="preserve">"mg kg⁻¹ µM⁻¹"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site/crop-specific 95th percentile of historical well-fertilized yields."</w:t>
      </w:r>
      <w:r>
        <w:rPr>
          <w:rStyle w:val="NormalTok"/>
        </w:rPr>
        <w:t xml:space="preserve">,</w:t>
      </w:r>
      <w:r>
        <w:br/>
      </w:r>
      <w:r>
        <w:rPr>
          <w:rStyle w:val="NormalTok"/>
        </w:rPr>
        <w:t xml:space="preserve">    </w:t>
      </w:r>
      <w:r>
        <w:rPr>
          <w:rStyle w:val="StringTok"/>
        </w:rPr>
        <w:t xml:space="preserve">"Plot P-uptake normalized by historical maximum uptake for the specific site and crop."</w:t>
      </w:r>
      <w:r>
        <w:rPr>
          <w:rStyle w:val="NormalTok"/>
        </w:rPr>
        <w:t xml:space="preserve">,</w:t>
      </w:r>
      <w:r>
        <w:br/>
      </w:r>
      <w:r>
        <w:rPr>
          <w:rStyle w:val="NormalTok"/>
        </w:rPr>
        <w:t xml:space="preserve">    </w:t>
      </w:r>
      <w:r>
        <w:rPr>
          <w:rStyle w:val="StringTok"/>
        </w:rPr>
        <w:t xml:space="preserve">"Long-term net P budget (inputs minus outputs)."</w:t>
      </w:r>
      <w:r>
        <w:rPr>
          <w:rStyle w:val="NormalTok"/>
        </w:rPr>
        <w:t xml:space="preserve">,</w:t>
      </w:r>
      <w:r>
        <w:br/>
      </w:r>
      <w:r>
        <w:rPr>
          <w:rStyle w:val="NormalTok"/>
        </w:rPr>
        <w:t xml:space="preserve">    </w:t>
      </w:r>
      <w:r>
        <w:rPr>
          <w:rStyle w:val="StringTok"/>
        </w:rPr>
        <w:t xml:space="preserve">"First-order rate constant of P desorption."</w:t>
      </w:r>
      <w:r>
        <w:rPr>
          <w:rStyle w:val="NormalTok"/>
        </w:rPr>
        <w:t xml:space="preserve">,</w:t>
      </w:r>
      <w:r>
        <w:br/>
      </w:r>
      <w:r>
        <w:rPr>
          <w:rStyle w:val="NormalTok"/>
        </w:rPr>
        <w:t xml:space="preserve">    </w:t>
      </w:r>
      <w:r>
        <w:rPr>
          <w:rStyle w:val="StringTok"/>
        </w:rPr>
        <w:t xml:space="preserve">"Davies-corrected thermodynamic activity asymptote of the water-desorbable P pool."</w:t>
      </w:r>
      <w:r>
        <w:rPr>
          <w:rStyle w:val="NormalTok"/>
        </w:rPr>
        <w:t xml:space="preserve">,</w:t>
      </w:r>
      <w:r>
        <w:br/>
      </w:r>
      <w:r>
        <w:rPr>
          <w:rStyle w:val="NormalTok"/>
        </w:rPr>
        <w:t xml:space="preserve">    </w:t>
      </w:r>
      <w:r>
        <w:rPr>
          <w:rStyle w:val="StringTok"/>
        </w:rPr>
        <w:t xml:space="preserve">"Initial thermodynamic supply rate, calculated as $k </w:t>
      </w:r>
      <w:r>
        <w:rPr>
          <w:rStyle w:val="SpecialCharTok"/>
        </w:rPr>
        <w:t xml:space="preserve">\\</w:t>
      </w:r>
      <w:r>
        <w:rPr>
          <w:rStyle w:val="StringTok"/>
        </w:rPr>
        <w:t xml:space="preserve">times a_{max}$."</w:t>
      </w:r>
      <w:r>
        <w:rPr>
          <w:rStyle w:val="NormalTok"/>
        </w:rPr>
        <w:t xml:space="preserve">,</w:t>
      </w:r>
      <w:r>
        <w:br/>
      </w:r>
      <w:r>
        <w:rPr>
          <w:rStyle w:val="NormalTok"/>
        </w:rPr>
        <w:t xml:space="preserve">    </w:t>
      </w:r>
      <w:r>
        <w:rPr>
          <w:rStyle w:val="StringTok"/>
        </w:rPr>
        <w:t xml:space="preserve">"Physical mass of extractable P (AAE10 method), acting as the Q-factor."</w:t>
      </w:r>
      <w:r>
        <w:rPr>
          <w:rStyle w:val="NormalTok"/>
        </w:rPr>
        <w:t xml:space="preserve">,</w:t>
      </w:r>
      <w:r>
        <w:br/>
      </w:r>
      <w:r>
        <w:rPr>
          <w:rStyle w:val="NormalTok"/>
        </w:rPr>
        <w:t xml:space="preserve">    </w:t>
      </w:r>
      <w:r>
        <w:rPr>
          <w:rStyle w:val="StringTok"/>
        </w:rPr>
        <w:t xml:space="preserve">"The mathematical derivative ($dQ/dI$) of the site-specific Freundlich isotherm."</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bookmarkEnd w:id="23"/>
    <w:bookmarkStart w:id="24"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bookmarkEnd w:id="24"/>
    <w:bookmarkEnd w:id="25"/>
    <w:bookmarkEnd w:id="26"/>
    <w:bookmarkStart w:id="80"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37"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1"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0" w:name="fig-linearized-model"/>
          <w:p>
            <w:pPr>
              <w:pStyle w:val="Compact"/>
              <w:jc w:val="center"/>
            </w:pPr>
            <w:r>
              <w:drawing>
                <wp:inline>
                  <wp:extent cx="4620126" cy="4620126"/>
                  <wp:effectExtent b="0" l="0" r="0" t="0"/>
                  <wp:docPr descr="" title="" id="28" name="Picture"/>
                  <a:graphic>
                    <a:graphicData uri="http://schemas.openxmlformats.org/drawingml/2006/picture">
                      <pic:pic>
                        <pic:nvPicPr>
                          <pic:cNvPr descr="index_files/figure-docx/fig-linearized-model-1.png" id="29" name="Picture"/>
                          <pic:cNvPicPr>
                            <a:picLocks noChangeArrowheads="1" noChangeAspect="1"/>
                          </pic:cNvPicPr>
                        </pic:nvPicPr>
                        <pic:blipFill>
                          <a:blip r:embed="rId2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0"/>
        </w:tc>
      </w:tr>
    </w:tbl>
    <w:bookmarkEnd w:id="31"/>
    <w:bookmarkStart w:id="36"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5" w:name="fig-nonlinear-model"/>
          <w:p>
            <w:pPr>
              <w:pStyle w:val="Compact"/>
              <w:jc w:val="center"/>
            </w:pPr>
            <w:r>
              <w:drawing>
                <wp:inline>
                  <wp:extent cx="4620126" cy="5544151"/>
                  <wp:effectExtent b="0" l="0" r="0" t="0"/>
                  <wp:docPr descr="" title="" id="33" name="Picture"/>
                  <a:graphic>
                    <a:graphicData uri="http://schemas.openxmlformats.org/drawingml/2006/picture">
                      <pic:pic>
                        <pic:nvPicPr>
                          <pic:cNvPr descr="index_files/figure-docx/fig-nonlinear-model-1.png" id="34" name="Picture"/>
                          <pic:cNvPicPr>
                            <a:picLocks noChangeArrowheads="1" noChangeAspect="1"/>
                          </pic:cNvPicPr>
                        </pic:nvPicPr>
                        <pic:blipFill>
                          <a:blip r:embed="rId32"/>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5"/>
        </w:tc>
      </w:tr>
    </w:tbl>
    <w:bookmarkEnd w:id="36"/>
    <w:bookmarkEnd w:id="37"/>
    <w:bookmarkStart w:id="47"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46"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1" w:name="fig-iek-comparison-1"/>
                <w:p>
                  <w:pPr>
                    <w:pStyle w:val="Compact"/>
                    <w:jc w:val="center"/>
                    <w:jc w:val="left"/>
                  </w:pPr>
                  <w:r>
                    <w:drawing>
                      <wp:inline>
                        <wp:extent cx="2971800" cy="2377440"/>
                        <wp:effectExtent b="0" l="0" r="0" t="0"/>
                        <wp:docPr descr="" title="" id="39" name="Picture"/>
                        <a:graphic>
                          <a:graphicData uri="http://schemas.openxmlformats.org/drawingml/2006/picture">
                            <pic:pic>
                              <pic:nvPicPr>
                                <pic:cNvPr descr="index_files/figure-docx/fig-iek-comparison-1.png" id="40" name="Picture"/>
                                <pic:cNvPicPr>
                                  <a:picLocks noChangeArrowheads="1" noChangeAspect="1"/>
                                </pic:cNvPicPr>
                              </pic:nvPicPr>
                              <pic:blipFill>
                                <a:blip r:embed="rId38"/>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1"/>
              </w:tc>
            </w:tr>
          </w:tbl>
          <w:p/>
        </w:tc>
        <w:tc>
          <w:tcPr/>
          <w:tbl>
            <w:tblPr>
              <w:tblStyle w:val="Table"/>
              <w:tblW w:type="pct" w:w="4900"/>
              <w:tblLayout w:type="fixed"/>
              <w:tblLook w:firstRow="0" w:lastRow="0" w:firstColumn="0" w:lastColumn="0" w:noHBand="0" w:noVBand="0" w:val="0000"/>
            </w:tblPr>
            <w:tblGrid>
              <w:gridCol w:w="7761"/>
            </w:tblGrid>
            <w:tr>
              <w:tc>
                <w:tcPr/>
                <w:bookmarkStart w:id="45" w:name="fig-iek-comparison-2"/>
                <w:p>
                  <w:pPr>
                    <w:pStyle w:val="Compact"/>
                    <w:jc w:val="center"/>
                    <w:jc w:val="left"/>
                  </w:pPr>
                  <w:r>
                    <w:drawing>
                      <wp:inline>
                        <wp:extent cx="2971800" cy="2377440"/>
                        <wp:effectExtent b="0" l="0" r="0" t="0"/>
                        <wp:docPr descr="" title="" id="43" name="Picture"/>
                        <a:graphic>
                          <a:graphicData uri="http://schemas.openxmlformats.org/drawingml/2006/picture">
                            <pic:pic>
                              <pic:nvPicPr>
                                <pic:cNvPr descr="index_files/figure-docx/fig-iek-comparison-2.png" id="44" name="Picture"/>
                                <pic:cNvPicPr>
                                  <a:picLocks noChangeArrowheads="1" noChangeAspect="1"/>
                                </pic:cNvPicPr>
                              </pic:nvPicPr>
                              <pic:blipFill>
                                <a:blip r:embed="rId42"/>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5"/>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46"/>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47"/>
    <w:bookmarkStart w:id="58"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2"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agronomic-responses"/>
          <w:p>
            <w:pPr>
              <w:pStyle w:val="Compact"/>
              <w:jc w:val="center"/>
            </w:pPr>
            <w:r>
              <w:drawing>
                <wp:inline>
                  <wp:extent cx="4620126" cy="6468176"/>
                  <wp:effectExtent b="0" l="0" r="0" t="0"/>
                  <wp:docPr descr="" title="" id="49" name="Picture"/>
                  <a:graphic>
                    <a:graphicData uri="http://schemas.openxmlformats.org/drawingml/2006/picture">
                      <pic:pic>
                        <pic:nvPicPr>
                          <pic:cNvPr descr="index_files/figure-docx/fig-agronomic-responses-1.png" id="50" name="Picture"/>
                          <pic:cNvPicPr>
                            <a:picLocks noChangeArrowheads="1" noChangeAspect="1"/>
                          </pic:cNvPicPr>
                        </pic:nvPicPr>
                        <pic:blipFill>
                          <a:blip r:embed="rId4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1"/>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2"/>
    <w:bookmarkStart w:id="57"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soil-parameters"/>
          <w:p>
            <w:pPr>
              <w:pStyle w:val="Compact"/>
              <w:jc w:val="center"/>
            </w:pPr>
            <w:r>
              <w:drawing>
                <wp:inline>
                  <wp:extent cx="4620126" cy="6468176"/>
                  <wp:effectExtent b="0" l="0" r="0" t="0"/>
                  <wp:docPr descr="" title="" id="54" name="Picture"/>
                  <a:graphic>
                    <a:graphicData uri="http://schemas.openxmlformats.org/drawingml/2006/picture">
                      <pic:pic>
                        <pic:nvPicPr>
                          <pic:cNvPr descr="index_files/figure-docx/fig-soil-parameters-1.png" id="55" name="Picture"/>
                          <pic:cNvPicPr>
                            <a:picLocks noChangeArrowheads="1" noChangeAspect="1"/>
                          </pic:cNvPicPr>
                        </pic:nvPicPr>
                        <pic:blipFill>
                          <a:blip r:embed="rId5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56"/>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57"/>
    <w:bookmarkEnd w:id="58"/>
    <w:bookmarkStart w:id="60"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59"/>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0"/>
    <w:bookmarkStart w:id="79"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69"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4" w:name="fig-yield-comparison"/>
          <w:p>
            <w:pPr>
              <w:pStyle w:val="Compact"/>
              <w:jc w:val="center"/>
            </w:pPr>
            <w:r>
              <w:drawing>
                <wp:inline>
                  <wp:extent cx="4620126" cy="3696101"/>
                  <wp:effectExtent b="0" l="0" r="0" t="0"/>
                  <wp:docPr descr="" title="" id="62" name="Picture"/>
                  <a:graphic>
                    <a:graphicData uri="http://schemas.openxmlformats.org/drawingml/2006/picture">
                      <pic:pic>
                        <pic:nvPicPr>
                          <pic:cNvPr descr="index_files/figure-docx/fig-yield-comparison-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yield-cadenazzo-fix"/>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yield-cadenazzo-fix-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68"/>
        </w:tc>
      </w:tr>
    </w:tbl>
    <w:bookmarkEnd w:id="69"/>
    <w:bookmarkStart w:id="71"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0"/>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1"/>
    <w:bookmarkStart w:id="74"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2"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2"/>
          <w:p/>
        </w:tc>
      </w:tr>
    </w:tbl>
    <w:bookmarkStart w:id="73"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3"/>
    <w:bookmarkEnd w:id="74"/>
    <w:bookmarkStart w:id="76"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5"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5"/>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76"/>
    <w:bookmarkStart w:id="78"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77"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77"/>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78"/>
    <w:bookmarkEnd w:id="79"/>
    <w:bookmarkEnd w:id="80"/>
    <w:bookmarkStart w:id="89"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1"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4"/>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4"/>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1"/>
    <w:bookmarkStart w:id="86"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5" w:name="fig-ell-outlier-check-dual-axis"/>
          <w:p>
            <w:pPr>
              <w:pStyle w:val="Compact"/>
              <w:jc w:val="center"/>
            </w:pPr>
            <w:r>
              <w:drawing>
                <wp:inline>
                  <wp:extent cx="4620126" cy="3696101"/>
                  <wp:effectExtent b="0" l="0" r="0" t="0"/>
                  <wp:docPr descr="" title="" id="83" name="Picture"/>
                  <a:graphic>
                    <a:graphicData uri="http://schemas.openxmlformats.org/drawingml/2006/picture">
                      <pic:pic>
                        <pic:nvPicPr>
                          <pic:cNvPr descr="index_files/figure-docx/fig-ell-outlier-check-dual-axis-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5"/>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86"/>
    <w:bookmarkStart w:id="88"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87"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87"/>
    <w:bookmarkEnd w:id="88"/>
    <w:bookmarkEnd w:id="89"/>
    <w:bookmarkStart w:id="90"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0"/>
    <w:bookmarkStart w:id="130" w:name="references"/>
    <w:p>
      <w:pPr>
        <w:pStyle w:val="Heading1"/>
      </w:pPr>
      <w:r>
        <w:t xml:space="preserve">6. References</w:t>
      </w:r>
    </w:p>
    <w:bookmarkStart w:id="129" w:name="refs"/>
    <w:bookmarkStart w:id="92"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1">
        <w:r>
          <w:rPr>
            <w:rStyle w:val="Hyperlink"/>
          </w:rPr>
          <w:t xml:space="preserve">https://doi.org/10.18637/jss.v067.i01</w:t>
        </w:r>
      </w:hyperlink>
    </w:p>
    <w:bookmarkEnd w:id="92"/>
    <w:bookmarkStart w:id="9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93"/>
    <w:bookmarkStart w:id="95"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94">
        <w:r>
          <w:rPr>
            <w:rStyle w:val="Hyperlink"/>
          </w:rPr>
          <w:t xml:space="preserve">https://doi.org/10.1080/00103624.2013.741896</w:t>
        </w:r>
      </w:hyperlink>
    </w:p>
    <w:bookmarkEnd w:id="95"/>
    <w:bookmarkStart w:id="96" w:name="ref-Fisher1925"/>
    <w:p>
      <w:pPr>
        <w:pStyle w:val="Bibliography"/>
      </w:pPr>
      <w:r>
        <w:t xml:space="preserve">Fisher, R. A. (1925).</w:t>
      </w:r>
      <w:r>
        <w:t xml:space="preserve"> </w:t>
      </w:r>
      <w:r>
        <w:rPr>
          <w:i/>
          <w:iCs/>
        </w:rPr>
        <w:t xml:space="preserve">Statistical methods for research workers</w:t>
      </w:r>
      <w:r>
        <w:t xml:space="preserve">. Oliver; Boyd.</w:t>
      </w:r>
    </w:p>
    <w:bookmarkEnd w:id="96"/>
    <w:bookmarkStart w:id="9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97">
        <w:r>
          <w:rPr>
            <w:rStyle w:val="Hyperlink"/>
          </w:rPr>
          <w:t xml:space="preserve">https://doi.org/10.2136/sssabookser3.2ed.c11</w:t>
        </w:r>
      </w:hyperlink>
    </w:p>
    <w:bookmarkEnd w:id="98"/>
    <w:bookmarkStart w:id="99"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99"/>
    <w:bookmarkStart w:id="100"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0"/>
    <w:bookmarkStart w:id="102"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1">
        <w:r>
          <w:rPr>
            <w:rStyle w:val="Hyperlink"/>
          </w:rPr>
          <w:t xml:space="preserve">https://doi.org/10.2134/jeq2000.00472425002900010003x</w:t>
        </w:r>
      </w:hyperlink>
    </w:p>
    <w:bookmarkEnd w:id="102"/>
    <w:bookmarkStart w:id="104"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03">
        <w:r>
          <w:rPr>
            <w:rStyle w:val="Hyperlink"/>
          </w:rPr>
          <w:t xml:space="preserve">https://doi.org/10.1007/s13280-017-0987-9</w:t>
        </w:r>
      </w:hyperlink>
    </w:p>
    <w:bookmarkEnd w:id="104"/>
    <w:bookmarkStart w:id="106"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5">
        <w:r>
          <w:rPr>
            <w:rStyle w:val="Hyperlink"/>
          </w:rPr>
          <w:t xml:space="preserve">https://doi.org/10.1016/j.scitotenv.2020.143453</w:t>
        </w:r>
      </w:hyperlink>
    </w:p>
    <w:bookmarkEnd w:id="106"/>
    <w:bookmarkStart w:id="108"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07">
        <w:r>
          <w:rPr>
            <w:rStyle w:val="Hyperlink"/>
          </w:rPr>
          <w:t xml:space="preserve">https://doi.org/10.1016/j.agee.2020.107270</w:t>
        </w:r>
      </w:hyperlink>
    </w:p>
    <w:bookmarkEnd w:id="108"/>
    <w:bookmarkStart w:id="110"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09">
        <w:r>
          <w:rPr>
            <w:rStyle w:val="Hyperlink"/>
          </w:rPr>
          <w:t xml:space="preserve">https://doi.org/10.1007/s11368-012-0498-8</w:t>
        </w:r>
      </w:hyperlink>
    </w:p>
    <w:bookmarkEnd w:id="110"/>
    <w:bookmarkStart w:id="11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11"/>
    <w:bookmarkStart w:id="113"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12">
        <w:r>
          <w:rPr>
            <w:rStyle w:val="Hyperlink"/>
          </w:rPr>
          <w:t xml:space="preserve">https://CRAN.R-project.org/package=nlme</w:t>
        </w:r>
      </w:hyperlink>
    </w:p>
    <w:bookmarkEnd w:id="113"/>
    <w:bookmarkStart w:id="115"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14">
        <w:r>
          <w:rPr>
            <w:rStyle w:val="Hyperlink"/>
          </w:rPr>
          <w:t xml:space="preserve">https://www.R-project.org/</w:t>
        </w:r>
      </w:hyperlink>
    </w:p>
    <w:bookmarkEnd w:id="115"/>
    <w:bookmarkStart w:id="11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16">
        <w:r>
          <w:rPr>
            <w:rStyle w:val="Hyperlink"/>
          </w:rPr>
          <w:t xml:space="preserve">https://doi.org/10.1007/s10705-015-9726-1</w:t>
        </w:r>
      </w:hyperlink>
    </w:p>
    <w:bookmarkEnd w:id="117"/>
    <w:bookmarkStart w:id="11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18">
        <w:r>
          <w:rPr>
            <w:rStyle w:val="Hyperlink"/>
          </w:rPr>
          <w:t xml:space="preserve">https://doi.org/10.1051/agro:2002018</w:t>
        </w:r>
      </w:hyperlink>
    </w:p>
    <w:bookmarkEnd w:id="119"/>
    <w:bookmarkStart w:id="12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20"/>
    <w:bookmarkStart w:id="12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21">
        <w:r>
          <w:rPr>
            <w:rStyle w:val="Hyperlink"/>
          </w:rPr>
          <w:t xml:space="preserve">https://doi.org/10.2135/cropsci1998.0011183X003800030002x</w:t>
        </w:r>
      </w:hyperlink>
    </w:p>
    <w:bookmarkEnd w:id="122"/>
    <w:bookmarkStart w:id="12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23">
        <w:r>
          <w:rPr>
            <w:rStyle w:val="Hyperlink"/>
          </w:rPr>
          <w:t xml:space="preserve">https://doi.org/10.1016/B978-0-12-656446-4.50001-X</w:t>
        </w:r>
      </w:hyperlink>
    </w:p>
    <w:bookmarkEnd w:id="124"/>
    <w:bookmarkStart w:id="12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25"/>
    <w:bookmarkStart w:id="12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26">
        <w:r>
          <w:rPr>
            <w:rStyle w:val="Hyperlink"/>
          </w:rPr>
          <w:t xml:space="preserve">https://doi.org/10.2134/agronj2002.2830</w:t>
        </w:r>
      </w:hyperlink>
    </w:p>
    <w:bookmarkEnd w:id="127"/>
    <w:bookmarkStart w:id="128"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28"/>
    <w:bookmarkEnd w:id="129"/>
    <w:p>
      <w:r>
        <w:br w:type="page"/>
      </w:r>
    </w:p>
    <w:p>
      <w:r>
        <w:br w:type="page"/>
      </w:r>
    </w:p>
    <w:bookmarkEnd w:id="130"/>
    <w:bookmarkStart w:id="136" w:name="Xc02b1095fe035d2f218bf14431ef63629f299b5"/>
    <w:p>
      <w:pPr>
        <w:pStyle w:val="Heading1"/>
      </w:pPr>
      <w:r>
        <w:t xml:space="preserve">7. Appendix: Thermodynamic Correction of</w:t>
      </w:r>
      <w:r>
        <w:t xml:space="preserve"> </w:t>
      </w:r>
      <m:oMath>
        <m:sSub>
          <m:e>
            <m:r>
              <m:t>P</m:t>
            </m:r>
          </m:e>
          <m:sub>
            <m:r>
              <m:t>C</m:t>
            </m:r>
            <m:sSub>
              <m:e>
                <m:r>
                  <m:t>O</m:t>
                </m:r>
              </m:e>
              <m:sub>
                <m:r>
                  <m:t>2</m:t>
                </m:r>
              </m:sub>
            </m:sSub>
          </m:sub>
        </m:sSub>
      </m:oMath>
      <w:r>
        <w:t xml:space="preserve"> </w:t>
      </w:r>
      <w:r>
        <w:t xml:space="preserve">Extractions</w:t>
      </w:r>
    </w:p>
    <w:bookmarkStart w:id="131" w:name="Xdd52081602f5faa9508128f35f776531d43bf68"/>
    <w:p>
      <w:pPr>
        <w:pStyle w:val="Heading2"/>
      </w:pPr>
      <w:r>
        <w:t xml:space="preserve">7.1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131"/>
    <w:bookmarkStart w:id="132" w:name="X8ef57afce3e26af86625f37a3880dd9c4114bfc"/>
    <w:p>
      <w:pPr>
        <w:pStyle w:val="Heading2"/>
      </w:pPr>
      <w:r>
        <w:t xml:space="preserve">7.2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32"/>
    <w:bookmarkStart w:id="135" w:name="X7cfd2e40ece616de93c98fe743f64dd11c88404"/>
    <w:p>
      <w:pPr>
        <w:pStyle w:val="Heading2"/>
      </w:pPr>
      <w:r>
        <w:t xml:space="preserve">7.3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5"/>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5"/>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5"/>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33">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34">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82" Target="media/rId8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112" Target="https://CRAN.R-project.org/package=nlme" TargetMode="External" /><Relationship Type="http://schemas.openxmlformats.org/officeDocument/2006/relationships/hyperlink" Id="rId116" Target="https://doi.org/10.1007/s10705-015-9726-1" TargetMode="External" /><Relationship Type="http://schemas.openxmlformats.org/officeDocument/2006/relationships/hyperlink" Id="rId109" Target="https://doi.org/10.1007/s11368-012-0498-8" TargetMode="External" /><Relationship Type="http://schemas.openxmlformats.org/officeDocument/2006/relationships/hyperlink" Id="rId103" Target="https://doi.org/10.1007/s13280-017-0987-9" TargetMode="External" /><Relationship Type="http://schemas.openxmlformats.org/officeDocument/2006/relationships/hyperlink" Id="rId123" Target="https://doi.org/10.1016/B978-0-12-656446-4.50001-X" TargetMode="External" /><Relationship Type="http://schemas.openxmlformats.org/officeDocument/2006/relationships/hyperlink" Id="rId107" Target="https://doi.org/10.1016/j.agee.2020.107270" TargetMode="External" /><Relationship Type="http://schemas.openxmlformats.org/officeDocument/2006/relationships/hyperlink" Id="rId105" Target="https://doi.org/10.1016/j.scitotenv.2020.143453" TargetMode="External" /><Relationship Type="http://schemas.openxmlformats.org/officeDocument/2006/relationships/hyperlink" Id="rId118" Target="https://doi.org/10.1051/agro:2002018" TargetMode="External" /><Relationship Type="http://schemas.openxmlformats.org/officeDocument/2006/relationships/hyperlink" Id="rId94" Target="https://doi.org/10.1080/00103624.2013.741896" TargetMode="External" /><Relationship Type="http://schemas.openxmlformats.org/officeDocument/2006/relationships/hyperlink" Id="rId91" Target="https://doi.org/10.18637/jss.v067.i01" TargetMode="External" /><Relationship Type="http://schemas.openxmlformats.org/officeDocument/2006/relationships/hyperlink" Id="rId126" Target="https://doi.org/10.2134/agronj2002.2830" TargetMode="External" /><Relationship Type="http://schemas.openxmlformats.org/officeDocument/2006/relationships/hyperlink" Id="rId101" Target="https://doi.org/10.2134/jeq2000.00472425002900010003x" TargetMode="External" /><Relationship Type="http://schemas.openxmlformats.org/officeDocument/2006/relationships/hyperlink" Id="rId121" Target="https://doi.org/10.2135/cropsci1998.0011183X003800030002x" TargetMode="External" /><Relationship Type="http://schemas.openxmlformats.org/officeDocument/2006/relationships/hyperlink" Id="rId97" Target="https://doi.org/10.2136/sssabookser3.2ed.c11" TargetMode="External" /><Relationship Type="http://schemas.openxmlformats.org/officeDocument/2006/relationships/hyperlink" Id="rId133" Target="https://github.com/ptochosgeorgos/Article-P-desorption-kinetics" TargetMode="External" /><Relationship Type="http://schemas.openxmlformats.org/officeDocument/2006/relationships/hyperlink" Id="rId134" Target="https://ptochosgeorgos.github.io/Article-P-desorption-kinetics/" TargetMode="External" /><Relationship Type="http://schemas.openxmlformats.org/officeDocument/2006/relationships/hyperlink" Id="rId11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RAN.R-project.org/package=nlme" TargetMode="External" /><Relationship Type="http://schemas.openxmlformats.org/officeDocument/2006/relationships/hyperlink" Id="rId116" Target="https://doi.org/10.1007/s10705-015-9726-1" TargetMode="External" /><Relationship Type="http://schemas.openxmlformats.org/officeDocument/2006/relationships/hyperlink" Id="rId109" Target="https://doi.org/10.1007/s11368-012-0498-8" TargetMode="External" /><Relationship Type="http://schemas.openxmlformats.org/officeDocument/2006/relationships/hyperlink" Id="rId103" Target="https://doi.org/10.1007/s13280-017-0987-9" TargetMode="External" /><Relationship Type="http://schemas.openxmlformats.org/officeDocument/2006/relationships/hyperlink" Id="rId123" Target="https://doi.org/10.1016/B978-0-12-656446-4.50001-X" TargetMode="External" /><Relationship Type="http://schemas.openxmlformats.org/officeDocument/2006/relationships/hyperlink" Id="rId107" Target="https://doi.org/10.1016/j.agee.2020.107270" TargetMode="External" /><Relationship Type="http://schemas.openxmlformats.org/officeDocument/2006/relationships/hyperlink" Id="rId105" Target="https://doi.org/10.1016/j.scitotenv.2020.143453" TargetMode="External" /><Relationship Type="http://schemas.openxmlformats.org/officeDocument/2006/relationships/hyperlink" Id="rId118" Target="https://doi.org/10.1051/agro:2002018" TargetMode="External" /><Relationship Type="http://schemas.openxmlformats.org/officeDocument/2006/relationships/hyperlink" Id="rId94" Target="https://doi.org/10.1080/00103624.2013.741896" TargetMode="External" /><Relationship Type="http://schemas.openxmlformats.org/officeDocument/2006/relationships/hyperlink" Id="rId91" Target="https://doi.org/10.18637/jss.v067.i01" TargetMode="External" /><Relationship Type="http://schemas.openxmlformats.org/officeDocument/2006/relationships/hyperlink" Id="rId126" Target="https://doi.org/10.2134/agronj2002.2830" TargetMode="External" /><Relationship Type="http://schemas.openxmlformats.org/officeDocument/2006/relationships/hyperlink" Id="rId101" Target="https://doi.org/10.2134/jeq2000.00472425002900010003x" TargetMode="External" /><Relationship Type="http://schemas.openxmlformats.org/officeDocument/2006/relationships/hyperlink" Id="rId121" Target="https://doi.org/10.2135/cropsci1998.0011183X003800030002x" TargetMode="External" /><Relationship Type="http://schemas.openxmlformats.org/officeDocument/2006/relationships/hyperlink" Id="rId97" Target="https://doi.org/10.2136/sssabookser3.2ed.c11" TargetMode="External" /><Relationship Type="http://schemas.openxmlformats.org/officeDocument/2006/relationships/hyperlink" Id="rId133" Target="https://github.com/ptochosgeorgos/Article-P-desorption-kinetics" TargetMode="External" /><Relationship Type="http://schemas.openxmlformats.org/officeDocument/2006/relationships/hyperlink" Id="rId134" Target="https://ptochosgeorgos.github.io/Article-P-desorption-kinetics/" TargetMode="External" /><Relationship Type="http://schemas.openxmlformats.org/officeDocument/2006/relationships/hyperlink" Id="rId11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2026-04-10T10:52:24Z</dcterms:created>
  <dcterms:modified xsi:type="dcterms:W3CDTF">2026-04-10T10:52:24Z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2026-04-10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