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sec-materials-and-methods"/>
    <w:p>
      <w:pPr>
        <w:pStyle w:val="Heading1"/>
      </w:pPr>
      <w:r>
        <w:t xml:space="preserve">1. Materials and Methods</w:t>
      </w:r>
    </w:p>
    <w:bookmarkStart w:id="9" w:name="X2a96c2427ceb6b998508f67b3ec6e8131f2af39"/>
    <w:p>
      <w:pPr>
        <w:pStyle w:val="Heading2"/>
      </w:pPr>
      <w:r>
        <w:t xml:space="preserve">1.1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9"/>
    <w:bookmarkStart w:id="10" w:name="sec-experimental-sites"/>
    <w:p>
      <w:pPr>
        <w:pStyle w:val="Heading2"/>
      </w:pPr>
      <w:r>
        <w:t xml:space="preserve">1.2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p>
      <w:pPr>
        <w:pStyle w:val="SourceCode"/>
      </w:pPr>
      <w:r>
        <w:rPr>
          <w:rStyle w:val="CommentTok"/>
        </w:rPr>
        <w:t xml:space="preserve">#| label: tbl-sites-corrected</w:t>
      </w:r>
      <w:r>
        <w:br/>
      </w:r>
      <w:r>
        <w:rPr>
          <w:rStyle w:val="CommentTok"/>
        </w:rPr>
        <w:t xml:space="preserve">#| tbl-cap: "Soil characteristics of the six long-term experimental sites. Data adapted from Hirte et al. (2021)."</w:t>
      </w:r>
      <w:r>
        <w:br/>
      </w:r>
      <w:r>
        <w:br/>
      </w:r>
      <w:r>
        <w:rPr>
          <w:rStyle w:val="NormalTok"/>
        </w:rPr>
        <w:t xml:space="preserve">sites_df_corrected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rPr>
          <w:rStyle w:val="StringTok"/>
        </w:rPr>
        <w:t xml:space="preserve">"ALT"</w:t>
      </w:r>
      <w:r>
        <w:rPr>
          <w:rStyle w:val="NormalTok"/>
        </w:rPr>
        <w:t xml:space="preserve">, </w:t>
      </w:r>
      <w:r>
        <w:rPr>
          <w:rStyle w:val="StringTok"/>
        </w:rPr>
        <w:t xml:space="preserve">"CAD"</w:t>
      </w:r>
      <w:r>
        <w:rPr>
          <w:rStyle w:val="NormalTok"/>
        </w:rPr>
        <w:t xml:space="preserve">, </w:t>
      </w:r>
      <w:r>
        <w:rPr>
          <w:rStyle w:val="StringTok"/>
        </w:rPr>
        <w:t xml:space="preserve">"ELL"</w:t>
      </w:r>
      <w:r>
        <w:rPr>
          <w:rStyle w:val="NormalTok"/>
        </w:rPr>
        <w:t xml:space="preserve">, </w:t>
      </w:r>
      <w:r>
        <w:rPr>
          <w:rStyle w:val="StringTok"/>
        </w:rPr>
        <w:t xml:space="preserve">"GRA"</w:t>
      </w:r>
      <w:r>
        <w:rPr>
          <w:rStyle w:val="NormalTok"/>
        </w:rPr>
        <w:t xml:space="preserve">, </w:t>
      </w:r>
      <w:r>
        <w:rPr>
          <w:rStyle w:val="StringTok"/>
        </w:rPr>
        <w:t xml:space="preserve">"OEN"</w:t>
      </w:r>
      <w:r>
        <w:rPr>
          <w:rStyle w:val="NormalTok"/>
        </w:rPr>
        <w:t xml:space="preserve">, </w:t>
      </w:r>
      <w:r>
        <w:rPr>
          <w:rStyle w:val="StringTok"/>
        </w:rPr>
        <w:t xml:space="preserve">"REC"</w:t>
      </w:r>
      <w:r>
        <w:rPr>
          <w:rStyle w:val="NormalTok"/>
        </w:rPr>
        <w:t xml:space="preserve">),</w:t>
      </w:r>
      <w:r>
        <w:br/>
      </w:r>
      <w:r>
        <w:rPr>
          <w:rStyle w:val="NormalTok"/>
        </w:rPr>
        <w:t xml:space="preserve">  </w:t>
      </w:r>
      <w:r>
        <w:rPr>
          <w:rStyle w:val="StringTok"/>
        </w:rPr>
        <w:t xml:space="preserve">`</w:t>
      </w:r>
      <w:r>
        <w:rPr>
          <w:rStyle w:val="AttributeTok"/>
        </w:rPr>
        <w:t xml:space="preserve">Soil Type (WRB)</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"Calcaric Cambisol"</w:t>
      </w:r>
      <w:r>
        <w:rPr>
          <w:rStyle w:val="NormalTok"/>
        </w:rPr>
        <w:t xml:space="preserve">, </w:t>
      </w:r>
      <w:r>
        <w:rPr>
          <w:rStyle w:val="StringTok"/>
        </w:rPr>
        <w:t xml:space="preserve">"Eutric Fluvisol"</w:t>
      </w:r>
      <w:r>
        <w:rPr>
          <w:rStyle w:val="NormalTok"/>
        </w:rPr>
        <w:t xml:space="preserve">, </w:t>
      </w:r>
      <w:r>
        <w:rPr>
          <w:rStyle w:val="StringTok"/>
        </w:rPr>
        <w:t xml:space="preserve">"Eutric Cambisol"</w:t>
      </w:r>
      <w:r>
        <w:rPr>
          <w:rStyle w:val="NormalTok"/>
        </w:rPr>
        <w:t xml:space="preserve">, </w:t>
      </w:r>
      <w:r>
        <w:rPr>
          <w:rStyle w:val="StringTok"/>
        </w:rPr>
        <w:t xml:space="preserve">"Calcaric Fluvisol"</w:t>
      </w:r>
      <w:r>
        <w:rPr>
          <w:rStyle w:val="NormalTok"/>
        </w:rPr>
        <w:t xml:space="preserve">, </w:t>
      </w:r>
      <w:r>
        <w:rPr>
          <w:rStyle w:val="StringTok"/>
        </w:rPr>
        <w:t xml:space="preserve">"Gleyic-calc. Cambisol"</w:t>
      </w:r>
      <w:r>
        <w:rPr>
          <w:rStyle w:val="NormalTok"/>
        </w:rPr>
        <w:t xml:space="preserve">, </w:t>
      </w:r>
      <w:r>
        <w:rPr>
          <w:rStyle w:val="StringTok"/>
        </w:rPr>
        <w:t xml:space="preserve">"Eutric Gleysol"</w:t>
      </w:r>
      <w:r>
        <w:rPr>
          <w:rStyle w:val="NormalTok"/>
        </w:rPr>
        <w:t xml:space="preserve">),</w:t>
      </w:r>
      <w:r>
        <w:br/>
      </w:r>
      <w:r>
        <w:rPr>
          <w:rStyle w:val="NormalTok"/>
        </w:rPr>
        <w:t xml:space="preserve">  </w:t>
      </w:r>
      <w:r>
        <w:rPr>
          <w:rStyle w:val="StringTok"/>
        </w:rPr>
        <w:t xml:space="preserve">`</w:t>
      </w:r>
      <w:r>
        <w:rPr>
          <w:rStyle w:val="AttributeTok"/>
        </w:rPr>
        <w:t xml:space="preserve">Clay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8</w:t>
      </w:r>
      <w:r>
        <w:rPr>
          <w:rStyle w:val="NormalTok"/>
        </w:rPr>
        <w:t xml:space="preserve">, </w:t>
      </w:r>
      <w:r>
        <w:rPr>
          <w:rStyle w:val="DecValTok"/>
        </w:rPr>
        <w:t xml:space="preserve">33</w:t>
      </w:r>
      <w:r>
        <w:rPr>
          <w:rStyle w:val="NormalTok"/>
        </w:rPr>
        <w:t xml:space="preserve">, </w:t>
      </w:r>
      <w:r>
        <w:rPr>
          <w:rStyle w:val="DecValTok"/>
        </w:rPr>
        <w:t xml:space="preserve">17</w:t>
      </w:r>
      <w:r>
        <w:rPr>
          <w:rStyle w:val="NormalTok"/>
        </w:rPr>
        <w:t xml:space="preserve">, </w:t>
      </w:r>
      <w:r>
        <w:rPr>
          <w:rStyle w:val="DecValTok"/>
        </w:rPr>
        <w:t xml:space="preserve">37</w:t>
      </w:r>
      <w:r>
        <w:rPr>
          <w:rStyle w:val="NormalTok"/>
        </w:rPr>
        <w:t xml:space="preserve">, </w:t>
      </w:r>
      <w:r>
        <w:rPr>
          <w:rStyle w:val="DecValTok"/>
        </w:rPr>
        <w:t xml:space="preserve">39</w:t>
      </w:r>
      <w:r>
        <w:rPr>
          <w:rStyle w:val="NormalTok"/>
        </w:rPr>
        <w:t xml:space="preserve">),</w:t>
      </w:r>
      <w:r>
        <w:br/>
      </w:r>
      <w:r>
        <w:rPr>
          <w:rStyle w:val="NormalTok"/>
        </w:rPr>
        <w:t xml:space="preserve">  </w:t>
      </w:r>
      <w:r>
        <w:rPr>
          <w:rStyle w:val="StringTok"/>
        </w:rPr>
        <w:t xml:space="preserve">`</w:t>
      </w:r>
      <w:r>
        <w:rPr>
          <w:rStyle w:val="AttributeTok"/>
        </w:rPr>
        <w:t xml:space="preserve">Sand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48</w:t>
      </w:r>
      <w:r>
        <w:rPr>
          <w:rStyle w:val="NormalTok"/>
        </w:rPr>
        <w:t xml:space="preserve">, </w:t>
      </w:r>
      <w:r>
        <w:rPr>
          <w:rStyle w:val="DecValTok"/>
        </w:rPr>
        <w:t xml:space="preserve">40</w:t>
      </w:r>
      <w:r>
        <w:rPr>
          <w:rStyle w:val="NormalTok"/>
        </w:rPr>
        <w:t xml:space="preserve">, </w:t>
      </w:r>
      <w:r>
        <w:rPr>
          <w:rStyle w:val="DecValTok"/>
        </w:rPr>
        <w:t xml:space="preserve">31</w:t>
      </w:r>
      <w:r>
        <w:rPr>
          <w:rStyle w:val="NormalTok"/>
        </w:rPr>
        <w:t xml:space="preserve">, </w:t>
      </w:r>
      <w:r>
        <w:rPr>
          <w:rStyle w:val="DecValTok"/>
        </w:rPr>
        <w:t xml:space="preserve">34</w:t>
      </w:r>
      <w:r>
        <w:rPr>
          <w:rStyle w:val="NormalTok"/>
        </w:rPr>
        <w:t xml:space="preserve">, </w:t>
      </w:r>
      <w:r>
        <w:rPr>
          <w:rStyle w:val="DecValTok"/>
        </w:rPr>
        <w:t xml:space="preserve">32</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w:t>
      </w:r>
      <w:r>
        <w:rPr>
          <w:rStyle w:val="AttributeTok"/>
        </w:rPr>
        <w:t xml:space="preserve">Organic C (g/kg)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21</w:t>
      </w:r>
      <w:r>
        <w:rPr>
          <w:rStyle w:val="NormalTok"/>
        </w:rPr>
        <w:t xml:space="preserve">, </w:t>
      </w:r>
      <w:r>
        <w:rPr>
          <w:rStyle w:val="DecValTok"/>
        </w:rPr>
        <w:t xml:space="preserve">14</w:t>
      </w:r>
      <w:r>
        <w:rPr>
          <w:rStyle w:val="NormalTok"/>
        </w:rPr>
        <w:t xml:space="preserve">, </w:t>
      </w:r>
      <w:r>
        <w:rPr>
          <w:rStyle w:val="DecValTok"/>
        </w:rPr>
        <w:t xml:space="preserve">23</w:t>
      </w:r>
      <w:r>
        <w:rPr>
          <w:rStyle w:val="NormalTok"/>
        </w:rPr>
        <w:t xml:space="preserve">, </w:t>
      </w:r>
      <w:r>
        <w:rPr>
          <w:rStyle w:val="DecValTok"/>
        </w:rPr>
        <w:t xml:space="preserve">16</w:t>
      </w:r>
      <w:r>
        <w:rPr>
          <w:rStyle w:val="NormalTok"/>
        </w:rPr>
        <w:t xml:space="preserve">, </w:t>
      </w:r>
      <w:r>
        <w:rPr>
          <w:rStyle w:val="DecValTok"/>
        </w:rPr>
        <w:t xml:space="preserve">24</w:t>
      </w:r>
      <w:r>
        <w:rPr>
          <w:rStyle w:val="NormalTok"/>
        </w:rPr>
        <w:t xml:space="preserve">, </w:t>
      </w:r>
      <w:r>
        <w:rPr>
          <w:rStyle w:val="DecValTok"/>
        </w:rPr>
        <w:t xml:space="preserve">27</w:t>
      </w:r>
      <w:r>
        <w:rPr>
          <w:rStyle w:val="NormalTok"/>
        </w:rPr>
        <w:t xml:space="preserve">),</w:t>
      </w:r>
      <w:r>
        <w:br/>
      </w:r>
      <w:r>
        <w:rPr>
          <w:rStyle w:val="NormalTok"/>
        </w:rPr>
        <w:t xml:space="preserve">  </w:t>
      </w:r>
      <w:r>
        <w:rPr>
          <w:rStyle w:val="StringTok"/>
        </w:rPr>
        <w:t xml:space="preserve">`</w:t>
      </w:r>
      <w:r>
        <w:rPr>
          <w:rStyle w:val="AttributeTok"/>
        </w:rPr>
        <w:t xml:space="preserve">pH (H2O)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7.9</w:t>
      </w:r>
      <w:r>
        <w:rPr>
          <w:rStyle w:val="NormalTok"/>
        </w:rPr>
        <w:t xml:space="preserve">, </w:t>
      </w:r>
      <w:r>
        <w:rPr>
          <w:rStyle w:val="FloatTok"/>
        </w:rPr>
        <w:t xml:space="preserve">6.3</w:t>
      </w:r>
      <w:r>
        <w:rPr>
          <w:rStyle w:val="NormalTok"/>
        </w:rPr>
        <w:t xml:space="preserve">, </w:t>
      </w:r>
      <w:r>
        <w:rPr>
          <w:rStyle w:val="FloatTok"/>
        </w:rPr>
        <w:t xml:space="preserve">6.6</w:t>
      </w:r>
      <w:r>
        <w:rPr>
          <w:rStyle w:val="NormalTok"/>
        </w:rPr>
        <w:t xml:space="preserve">, </w:t>
      </w:r>
      <w:r>
        <w:rPr>
          <w:rStyle w:val="FloatTok"/>
        </w:rPr>
        <w:t xml:space="preserve">8.3</w:t>
      </w:r>
      <w:r>
        <w:rPr>
          <w:rStyle w:val="NormalTok"/>
        </w:rPr>
        <w:t xml:space="preserve">, </w:t>
      </w:r>
      <w:r>
        <w:rPr>
          <w:rStyle w:val="FloatTok"/>
        </w:rPr>
        <w:t xml:space="preserve">7.1</w:t>
      </w:r>
      <w:r>
        <w:rPr>
          <w:rStyle w:val="NormalTok"/>
        </w:rPr>
        <w:t xml:space="preserve">, </w:t>
      </w:r>
      <w:r>
        <w:rPr>
          <w:rStyle w:val="FloatTok"/>
        </w:rPr>
        <w:t xml:space="preserve">7.4</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(sites_df_corrected)</w:t>
      </w:r>
    </w:p>
    <w:p>
      <w:pPr>
        <w:pStyle w:val="FirstParagraph"/>
      </w:pPr>
      <w:r>
        <w:t xml:space="preserve">Soil samples for this thesis were collected in the year 2022 from the topsoil layer (0-20 cm).</w:t>
      </w:r>
    </w:p>
    <w:bookmarkEnd w:id="10"/>
    <w:bookmarkStart w:id="13" w:name="sec-phosphorus-desorption-kinetics"/>
    <w:p>
      <w:pPr>
        <w:pStyle w:val="Heading2"/>
      </w:pPr>
      <w:r>
        <w:t xml:space="preserve">1.3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true thermodynamic activity.</w:t>
      </w:r>
    </w:p>
    <w:bookmarkStart w:id="11" w:name="Xbd6c1e5704c75ae9a98b5e8f17a138b0c980a04"/>
    <w:p>
      <w:pPr>
        <w:pStyle w:val="Heading3"/>
      </w:pPr>
      <w:r>
        <w:t xml:space="preserve">1.3.1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1"/>
        </w:numPr>
      </w:pPr>
      <w:r>
        <w:rPr>
          <w:b/>
          <w:bCs/>
        </w:rPr>
        <w:t xml:space="preserve">Pre-washing to Remove Soluble P</w:t>
      </w:r>
      <w:r>
        <w:t xml:space="preserve">: 10 g of air-dried soil was suspended in 200 ml of deionized water and shaken for 60 minutes at 120 Hz. The suspension was centrifuged for 15 minutes at 4000 rpm, and the supernatant containing the readily soluble P was discarded.</w:t>
      </w:r>
    </w:p>
    <w:p>
      <w:pPr>
        <w:pStyle w:val="Compact"/>
        <w:numPr>
          <w:ilvl w:val="0"/>
          <w:numId w:val="1001"/>
        </w:numPr>
      </w:pPr>
      <w:r>
        <w:rPr>
          <w:b/>
          <w:bCs/>
        </w:rPr>
        <w:t xml:space="preserve">Kinetic Extraction</w:t>
      </w:r>
      <w:r>
        <w:t xml:space="preserve">: The remaining soil pellet was resuspended in 200 ml of fresh deionized water. The suspension was shaken continuously, and subsamples were taken at eight time points: 2, 4, 10, 15, 20, 30, 45, and 60 minutes.</w:t>
      </w:r>
    </w:p>
    <w:p>
      <w:pPr>
        <w:pStyle w:val="Compact"/>
        <w:numPr>
          <w:ilvl w:val="0"/>
          <w:numId w:val="1001"/>
        </w:numPr>
      </w:pPr>
      <w:r>
        <w:rPr>
          <w:b/>
          <w:bCs/>
        </w:rPr>
        <w:t xml:space="preserve">Analysis</w:t>
      </w:r>
      <w:r>
        <w:t xml:space="preserve">: Subsamples were immediately filtered, and the stoichiometric concentration of orthophosphate (</w:t>
      </w:r>
      <m:oMath>
        <m:sSub>
          <m:e>
            <m:r>
              <m:t>c</m:t>
            </m:r>
          </m:e>
          <m:sub>
            <m:r>
              <m:t>i</m:t>
            </m:r>
          </m:sub>
        </m:sSub>
      </m:oMath>
      <w:r>
        <w:t xml:space="preserve">) was determined colorimetrically using the malachite green method</w:t>
      </w:r>
      <w:r>
        <w:t xml:space="preserve"> </w:t>
      </w:r>
      <w:r>
        <w:t xml:space="preserve">(Van Veldhoven &amp; Mannaerts, 1987)</w:t>
      </w:r>
      <w:r>
        <w:t xml:space="preserve">.</w:t>
      </w:r>
    </w:p>
    <w:bookmarkEnd w:id="11"/>
    <w:bookmarkStart w:id="12" w:name="sec-thermodynamic-correction"/>
    <w:p>
      <w:pPr>
        <w:pStyle w:val="Heading3"/>
      </w:pPr>
      <w:r>
        <w:t xml:space="preserve">1.3.2 Thermodynamic Correction to Chemical Activity</w:t>
      </w:r>
    </w:p>
    <w:p>
      <w:pPr>
        <w:pStyle w:val="FirstParagraph"/>
      </w:pPr>
      <w:r>
        <w:t xml:space="preserve">Although the kinetic extraction utilized deionized water, the immediate dissolution of native soil salts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 etc.) generates a non-zero ionic strength (</w:t>
      </w:r>
      <m:oMath>
        <m:r>
          <m:t>I</m:t>
        </m:r>
      </m:oMath>
      <w:r>
        <w:t xml:space="preserve">) in the suspension. Because plant roots respond to thermodynamic energy rather than physical mass, the stoichiometric concentration of the extract (</w:t>
      </w:r>
      <m:oMath>
        <m:sSub>
          <m:e>
            <m:r>
              <m:t>c</m:t>
            </m:r>
          </m:e>
          <m:sub>
            <m:r>
              <m:t>i</m:t>
            </m:r>
          </m:sub>
        </m:sSub>
      </m:oMath>
      <w:r>
        <w:t xml:space="preserve">) must be corrected to its true chemical activity (</w:t>
      </w:r>
      <m:oMath>
        <m:sSub>
          <m:e>
            <m:r>
              <m:t>a</m:t>
            </m:r>
          </m:e>
          <m:sub>
            <m:r>
              <m:t>i</m:t>
            </m:r>
          </m:sub>
        </m:sSub>
      </m:oMath>
      <w:r>
        <w:t xml:space="preserve">).</w:t>
      </w:r>
    </w:p>
    <w:p>
      <w:pPr>
        <w:pStyle w:val="BodyText"/>
      </w:pPr>
      <w:r>
        <w:t xml:space="preserve">The activity coefficient (</w:t>
      </w:r>
      <m:oMath>
        <m:r>
          <m:t>γ</m:t>
        </m:r>
      </m:oMath>
      <w:r>
        <w:t xml:space="preserve">) for the divalent phosphate ion (</w:t>
      </w:r>
      <m:oMath>
        <m:r>
          <m:t>H</m:t>
        </m:r>
        <m:r>
          <m:t>P</m:t>
        </m:r>
        <m:sSubSup>
          <m:e>
            <m:r>
              <m:t>O</m:t>
            </m:r>
          </m:e>
          <m:sub>
            <m:r>
              <m:t>4</m:t>
            </m:r>
          </m:sub>
          <m:sup>
            <m:r>
              <m:t>2</m:t>
            </m:r>
            <m:r>
              <m:rPr>
                <m:sty m:val="p"/>
              </m:rPr>
              <m:t>−</m:t>
            </m:r>
          </m:sup>
        </m:sSubSup>
      </m:oMath>
      <w:r>
        <w:t xml:space="preserve">,</w:t>
      </w:r>
      <w:r>
        <w:t xml:space="preserve"> </w:t>
      </w:r>
      <m:oMath>
        <m:r>
          <m:t>z</m:t>
        </m:r>
        <m:r>
          <m:rPr>
            <m:sty m:val="p"/>
          </m:rPr>
          <m:t>=</m:t>
        </m:r>
        <m:r>
          <m:rPr>
            <m:sty m:val="p"/>
          </m:rPr>
          <m:t>−</m:t>
        </m:r>
        <m:r>
          <m:t>2</m:t>
        </m:r>
      </m:oMath>
      <w:r>
        <w:t xml:space="preserve">) was calculated for each site-specific matrix using the</w:t>
      </w:r>
      <w:r>
        <w:t xml:space="preserve"> </w:t>
      </w:r>
      <w:r>
        <w:rPr>
          <w:b/>
          <w:bCs/>
        </w:rPr>
        <w:t xml:space="preserve">Davies Equation</w:t>
      </w:r>
      <w:r>
        <w:t xml:space="preserve">, which is highly robust for agricultural soil solutions up to</w:t>
      </w:r>
      <w:r>
        <w:t xml:space="preserve"> </w:t>
      </w:r>
      <m:oMath>
        <m:r>
          <m:t>I</m:t>
        </m:r>
        <m:r>
          <m:rPr>
            <m:sty m:val="p"/>
          </m:rPr>
          <m:t>≈</m:t>
        </m:r>
        <m:r>
          <m:t>0.1</m:t>
        </m:r>
        <m:r>
          <m:rPr>
            <m:nor/>
            <m:sty m:val="p"/>
          </m:rPr>
          <m:t> M</m:t>
        </m:r>
      </m:oMath>
      <w:r>
        <w:t xml:space="preserve">:</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0.5</m:t>
          </m:r>
          <m:r>
            <m:rPr>
              <m:sty m:val="p"/>
            </m:rPr>
            <m:t>⋅</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The true thermodynamic activity (</w:t>
      </w:r>
      <m:oMath>
        <m:sSub>
          <m:e>
            <m:r>
              <m:t>a</m:t>
            </m:r>
          </m:e>
          <m:sub>
            <m:r>
              <m:t>i</m:t>
            </m:r>
          </m:sub>
        </m:sSub>
      </m:oMath>
      <w:r>
        <w:t xml:space="preserve">) of the phosphorus in the extract was then calculated as the product of the raw stoichiometric concentration and the activity coefficient:</w:t>
      </w:r>
    </w:p>
    <w:p>
      <w:pPr>
        <w:pStyle w:val="BodyText"/>
      </w:pPr>
      <m:oMathPara>
        <m:oMathParaPr>
          <m:jc m:val="center"/>
        </m:oMathParaPr>
        <m:oMath>
          <m:sSub>
            <m:e>
              <m:r>
                <m:t>a</m:t>
              </m:r>
            </m:e>
            <m:sub>
              <m:r>
                <m:t>i</m:t>
              </m:r>
            </m:sub>
          </m:sSub>
          <m:r>
            <m:rPr>
              <m:sty m:val="p"/>
            </m:rPr>
            <m:t>=</m:t>
          </m:r>
          <m:sSub>
            <m:e>
              <m:r>
                <m:t>c</m:t>
              </m:r>
            </m:e>
            <m:sub>
              <m:r>
                <m:t>i</m:t>
              </m:r>
            </m:sub>
          </m:sSub>
          <m:r>
            <m:rPr>
              <m:sty m:val="p"/>
            </m:rPr>
            <m:t>⋅</m:t>
          </m:r>
          <m:r>
            <m:t>γ</m:t>
          </m:r>
        </m:oMath>
      </m:oMathPara>
    </w:p>
    <w:p>
      <w:pPr>
        <w:pStyle w:val="FirstParagraph"/>
      </w:pPr>
      <w:r>
        <w:t xml:space="preserve">This correction neutralizes pedochemical variances caused by differing native background salinities and pH levels across the STYCS sites, converting the raw data into a universal thermodynamic Intensity (</w:t>
      </w:r>
      <m:oMath>
        <m:r>
          <m:t>I</m:t>
        </m:r>
      </m:oMath>
      <w:r>
        <w:t xml:space="preserve">) metric.</w:t>
      </w:r>
    </w:p>
    <w:bookmarkEnd w:id="12"/>
    <w:bookmarkEnd w:id="13"/>
    <w:bookmarkStart w:id="30" w:name="sec-statistical-analysis"/>
    <w:p>
      <w:pPr>
        <w:pStyle w:val="Heading2"/>
      </w:pPr>
      <w:r>
        <w:t xml:space="preserve">1.4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2022)</w:t>
      </w:r>
      <w:r>
        <w:t xml:space="preserve">. Primary packages included</w:t>
      </w:r>
      <w:r>
        <w:t xml:space="preserve"> </w:t>
      </w:r>
      <w:r>
        <w:rPr>
          <w:rStyle w:val="VerbatimChar"/>
        </w:rPr>
        <w:t xml:space="preserve">nlme</w:t>
      </w:r>
      <w:r>
        <w:t xml:space="preserve"> </w:t>
      </w:r>
      <w:r>
        <w:t xml:space="preserve">(Pinheiro et al., 2022)</w:t>
      </w:r>
      <w:r>
        <w:t xml:space="preserve"> </w:t>
      </w:r>
      <w:r>
        <w:t xml:space="preserve">for non-linear kinetic modeling,</w:t>
      </w:r>
      <w:r>
        <w:t xml:space="preserve"> </w:t>
      </w:r>
      <w:r>
        <w:rPr>
          <w:rStyle w:val="VerbatimChar"/>
        </w:rPr>
        <w:t xml:space="preserve">lme4</w:t>
      </w:r>
      <w:r>
        <w:t xml:space="preserve"> </w:t>
      </w:r>
      <w:r>
        <w:t xml:space="preserve">(Bates et al., 2015)</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14" w:name="X66c8e447a19c304ef14b8d97356eebce6eb189a"/>
    <w:p>
      <w:pPr>
        <w:pStyle w:val="Heading3"/>
      </w:pPr>
      <w:r>
        <w:t xml:space="preserve">1.4.1 1. Modeling of Desorption Kinetics and the Activity Flux (</w:t>
      </w:r>
      <m:oMath>
        <m:sSub>
          <m:e>
            <m:r>
              <m:t>J</m:t>
            </m:r>
          </m:e>
          <m:sub>
            <m:r>
              <m:t>0</m:t>
            </m:r>
          </m:sub>
        </m:sSub>
      </m:oMath>
      <w:r>
        <w:t xml:space="preserve">)</w:t>
      </w:r>
    </w:p>
    <w:p>
      <w:pPr>
        <w:pStyle w:val="FirstParagraph"/>
      </w:pPr>
      <w:r>
        <w:t xml:space="preserve">To derive the kinetic parameters, a non-linear mixed-effects model (</w:t>
      </w:r>
      <w:r>
        <w:rPr>
          <w:rStyle w:val="VerbatimChar"/>
        </w:rPr>
        <w:t xml:space="preserve">nlme</w:t>
      </w:r>
      <w:r>
        <w:t xml:space="preserve">) was fitted to the exact solution of the first-order rate equation, utilizing the thermodynamically corrected activities:</w:t>
      </w:r>
    </w:p>
    <w:p>
      <w:pPr>
        <w:pStyle w:val="BodyText"/>
      </w:pPr>
      <m:oMathPara>
        <m:oMathParaPr>
          <m:jc m:val="center"/>
        </m:oMathParaPr>
        <m:oMath>
          <m:r>
            <m:t>a</m:t>
          </m:r>
          <m:r>
            <m:rPr>
              <m:sty m:val="p"/>
            </m:rPr>
            <m:t>(</m:t>
          </m:r>
          <m:r>
            <m:t>t</m:t>
          </m:r>
          <m:r>
            <m:rPr>
              <m:sty m:val="p"/>
            </m:rPr>
            <m:t>)</m:t>
          </m:r>
          <m:r>
            <m:rPr>
              <m:sty m:val="p"/>
            </m:rPr>
            <m:t>=</m:t>
          </m:r>
          <m:sSub>
            <m:e>
              <m:r>
                <m:t>a</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a</m:t>
        </m:r>
        <m:r>
          <m:rPr>
            <m:sty m:val="p"/>
          </m:rPr>
          <m:t>(</m:t>
        </m:r>
        <m:r>
          <m:t>t</m:t>
        </m:r>
        <m:r>
          <m:rPr>
            <m:sty m:val="p"/>
          </m:rPr>
          <m:t>)</m:t>
        </m:r>
      </m:oMath>
      <w:r>
        <w:t xml:space="preserve"> </w:t>
      </w:r>
      <w:r>
        <w:t xml:space="preserve">is the P activity at time</w:t>
      </w:r>
      <w:r>
        <w:t xml:space="preserve"> </w:t>
      </w:r>
      <m:oMath>
        <m:r>
          <m:t>t</m:t>
        </m:r>
      </m:oMath>
      <w:r>
        <w:t xml:space="preserve">,</w:t>
      </w:r>
      <w:r>
        <w:t xml:space="preserve"> </w:t>
      </w:r>
      <m:oMath>
        <m:sSub>
          <m:e>
            <m:r>
              <m:t>a</m:t>
            </m:r>
          </m:e>
          <m:sub>
            <m:r>
              <m:t>m</m:t>
            </m:r>
            <m:r>
              <m:t>a</m:t>
            </m:r>
            <m:r>
              <m:t>x</m:t>
            </m:r>
          </m:sub>
        </m:sSub>
      </m:oMath>
      <w:r>
        <w:t xml:space="preserve"> </w:t>
      </w:r>
      <w:r>
        <w:t xml:space="preserve">is the maximum thermodynamic activity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accounting for initial dissolution. Sample-specific deviations were modeled as random effects to capture the unique desorption characteristics of each soil.</w:t>
      </w:r>
    </w:p>
    <w:p>
      <w:pPr>
        <w:pStyle w:val="BodyText"/>
      </w:pPr>
      <w:r>
        <w:t xml:space="preserve">From these parameters, a novel predictor for agronomic availability, the</w:t>
      </w:r>
      <w:r>
        <w:t xml:space="preserve"> </w:t>
      </w:r>
      <w:r>
        <w:rPr>
          <w:b/>
          <w:bCs/>
        </w:rPr>
        <w:t xml:space="preserve">Initial Activity Flux (</w:t>
      </w:r>
      <m:oMath>
        <m:sSub>
          <m:e>
            <m:r>
              <m:t>J</m:t>
            </m:r>
          </m:e>
          <m:sub>
            <m:r>
              <m:t>0</m:t>
            </m:r>
          </m:sub>
        </m:sSub>
      </m:oMath>
      <w:r>
        <w:rPr>
          <w:b/>
          <w:bCs/>
        </w:rPr>
        <w:t xml:space="preserve">)</w:t>
      </w:r>
      <w:r>
        <w:t xml:space="preserve">, was defined mathematically as the product of the rate constant and the maximum thermodynamic activity:</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bookmarkEnd w:id="14"/>
    <w:bookmarkStart w:id="15" w:name="X1cf47a909557ed9ebde43d137cb1950c10fa0a6"/>
    <w:p>
      <w:pPr>
        <w:pStyle w:val="Heading3"/>
      </w:pPr>
      <w:r>
        <w:t xml:space="preserve">1.4.2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true thermodynamic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bookmarkEnd w:id="15"/>
    <w:bookmarkStart w:id="16" w:name="X1fad81012fcba959795e5efc9d9880b48046764"/>
    <w:p>
      <w:pPr>
        <w:pStyle w:val="Heading3"/>
      </w:pPr>
      <w:r>
        <w:t xml:space="preserve">1.4.3 3. Agronomic Normalization: The Historical Baseline Strategy</w:t>
      </w:r>
    </w:p>
    <w:p>
      <w:pPr>
        <w:pStyle w:val="FirstParagraph"/>
      </w:pPr>
      <w:r>
        <w:t xml:space="preserve">To statistically evaluate the predictive power of the chemical parameters across six highly diverse pedoclimatic sites, raw crop yield and P-uptake data required robust normalization to isolate chemical P-limitation from overarching climatic noise.</w:t>
      </w:r>
    </w:p>
    <w:p>
      <w:pPr>
        <w:pStyle w:val="BodyText"/>
      </w:pPr>
      <w:r>
        <w:t xml:space="preserve">Standard normalization (dividing by the maximum yield of a given site within the specific experimental year) was rejected, as it artificially masks broad climatic limitations (e.g., drought) and forces the best plot of a poor year to equal 100%, mathematically erasing the biological penalty. Instead, a</w:t>
      </w:r>
      <w:r>
        <w:t xml:space="preserve"> </w:t>
      </w:r>
      <w:r>
        <w:rPr>
          <w:b/>
          <w:bCs/>
        </w:rPr>
        <w:t xml:space="preserve">historical biological baseline strategy</w:t>
      </w:r>
      <w:r>
        <w:t xml:space="preserve"> </w:t>
      </w:r>
      <w:r>
        <w:t xml:space="preserve">was employed.</w:t>
      </w:r>
    </w:p>
    <w:p>
      <w:pPr>
        <w:pStyle w:val="BodyText"/>
      </w:pPr>
      <w:r>
        <w:t xml:space="preserve">Using the 40-year STYCS historical dataset, the true biological potential (</w:t>
      </w:r>
      <m:oMath>
        <m:sSub>
          <m:e>
            <m:r>
              <m:t>Y</m:t>
            </m:r>
          </m:e>
          <m:sub>
            <m:r>
              <m:t>m</m:t>
            </m:r>
            <m:r>
              <m:t>a</m:t>
            </m:r>
            <m:r>
              <m:t>x</m:t>
            </m:r>
          </m:sub>
        </m:sSub>
      </m:oMath>
      <w:r>
        <w:t xml:space="preserve"> </w:t>
      </w:r>
      <w:r>
        <w:t xml:space="preserve">and</w:t>
      </w:r>
      <w:r>
        <w:t xml:space="preserve"> </w:t>
      </w:r>
      <m:oMath>
        <m:r>
          <m:t>U</m:t>
        </m:r>
        <m:r>
          <m:t>p</m:t>
        </m:r>
        <m:r>
          <m:t>t</m:t>
        </m:r>
        <m:r>
          <m:t>a</m:t>
        </m:r>
        <m:r>
          <m:t>k</m:t>
        </m:r>
        <m:sSub>
          <m:e>
            <m:r>
              <m:t>e</m:t>
            </m:r>
          </m:e>
          <m:sub>
            <m:r>
              <m:t>m</m:t>
            </m:r>
            <m:r>
              <m:t>a</m:t>
            </m:r>
            <m:r>
              <m:t>x</m:t>
            </m:r>
          </m:sub>
        </m:sSub>
      </m:oMath>
      <w:r>
        <w:t xml:space="preserve">) was calculated for each specific site and crop species by taking the 95th percentile of all fully fertilized (100% and 167% P) treatments. Current experimental yields and uptake values were divided by this historical baseline to calculate</w:t>
      </w:r>
      <w:r>
        <w:t xml:space="preserve"> </w:t>
      </w:r>
      <w:r>
        <w:rPr>
          <w:b/>
          <w:bCs/>
        </w:rPr>
        <w:t xml:space="preserve">Relative Historical Yield (</w:t>
      </w:r>
      <m:oMath>
        <m:sSub>
          <m:e>
            <m:r>
              <m:t>Y</m:t>
            </m:r>
          </m:e>
          <m:sub>
            <m:r>
              <m:t>r</m:t>
            </m:r>
            <m:r>
              <m:t>e</m:t>
            </m:r>
            <m:r>
              <m:t>l</m:t>
            </m:r>
            <m:r>
              <m:rPr>
                <m:sty m:val="p"/>
              </m:rPr>
              <m:t>_</m:t>
            </m:r>
            <m:r>
              <m:t>h</m:t>
            </m:r>
            <m:r>
              <m:t>i</m:t>
            </m:r>
            <m:r>
              <m:t>s</m:t>
            </m:r>
            <m:r>
              <m:t>t</m:t>
            </m:r>
          </m:sub>
        </m:sSub>
      </m:oMath>
      <w:r>
        <w:rPr>
          <w:b/>
          <w:bCs/>
        </w:rPr>
        <w:t xml:space="preserve">)</w:t>
      </w:r>
      <w:r>
        <w:t xml:space="preserve">, providing a highly stable metric representing the percentage of the crop’s long-term biological potential achieved.</w:t>
      </w:r>
    </w:p>
    <w:bookmarkEnd w:id="16"/>
    <w:bookmarkStart w:id="17" w:name="X58542cabf128eedeee182ac79d5f1c7c4f09633"/>
    <w:p>
      <w:pPr>
        <w:pStyle w:val="Heading3"/>
      </w:pPr>
      <w:r>
        <w:t xml:space="preserve">1.4.4 4. Comparative Modeling of Agronomic Outcomes</w:t>
      </w:r>
    </w:p>
    <w:p>
      <w:pPr>
        <w:pStyle w:val="FirstParagraph"/>
      </w:pPr>
      <w:r>
        <w:t xml:space="preserve">To test the core hypothesis, two competing sets of linear mixed-effects models (</w:t>
      </w:r>
      <w:r>
        <w:rPr>
          <w:rStyle w:val="VerbatimChar"/>
        </w:rPr>
        <w:t xml:space="preserve">lmer</w:t>
      </w:r>
      <w:r>
        <w:t xml:space="preserve">) were constructed to predict</w:t>
      </w:r>
      <w:r>
        <w:t xml:space="preserve"> </w:t>
      </w:r>
      <m:oMath>
        <m:sSub>
          <m:e>
            <m:r>
              <m:t>Y</m:t>
            </m:r>
          </m:e>
          <m:sub>
            <m:r>
              <m:t>r</m:t>
            </m:r>
            <m:r>
              <m:t>e</m:t>
            </m:r>
            <m:r>
              <m:t>l</m:t>
            </m:r>
            <m:r>
              <m:rPr>
                <m:sty m:val="p"/>
              </m:rPr>
              <m:t>_</m:t>
            </m:r>
            <m:r>
              <m:t>h</m:t>
            </m:r>
            <m:r>
              <m:t>i</m:t>
            </m:r>
            <m:r>
              <m:t>s</m:t>
            </m:r>
            <m:r>
              <m:t>t</m:t>
            </m:r>
          </m:sub>
        </m:sSub>
      </m:oMath>
      <w:r>
        <w:t xml:space="preserve"> </w:t>
      </w:r>
      <w:r>
        <w:t xml:space="preserve">and Relative P-Uptake. Both sets shared an identical random effects structure—</w:t>
      </w:r>
      <w:r>
        <w:rPr>
          <w:rStyle w:val="VerbatimChar"/>
        </w:rPr>
        <w:t xml:space="preserve">(1|year) + (1|Site) + (1|Site:block)</w:t>
      </w:r>
      <w:r>
        <w:t xml:space="preserve">—to absorb unmeasured pedoclimatic and meteorological variance.</w:t>
      </w:r>
    </w:p>
    <w:p>
      <w:pPr>
        <w:pStyle w:val="Compact"/>
        <w:numPr>
          <w:ilvl w:val="0"/>
          <w:numId w:val="1002"/>
        </w:numPr>
      </w:pPr>
      <w:r>
        <w:rPr>
          <w:b/>
          <w:bCs/>
        </w:rPr>
        <w:t xml:space="preserve">Model 1: The Kinetic/Thermodynamic Approach:</w:t>
      </w:r>
      <w:r>
        <w:t xml:space="preserve"> </w:t>
      </w:r>
      <w:r>
        <w:t xml:space="preserve">Utilized the novel Activity Flux (</w:t>
      </w:r>
      <m:oMath>
        <m:sSub>
          <m:e>
            <m:r>
              <m:t>J</m:t>
            </m:r>
          </m:e>
          <m:sub>
            <m:r>
              <m:t>0</m:t>
            </m:r>
          </m:sub>
        </m:sSub>
      </m:oMath>
      <w:r>
        <w:t xml:space="preserve">) as the primary fixed effect, testing the hypothesis that dynamic supply rate dictates plant availability.</w:t>
      </w:r>
    </w:p>
    <w:p>
      <w:pPr>
        <w:pStyle w:val="Compact"/>
        <w:numPr>
          <w:ilvl w:val="0"/>
          <w:numId w:val="1002"/>
        </w:numPr>
      </w:pPr>
      <w:r>
        <w:rPr>
          <w:b/>
          <w:bCs/>
        </w:rPr>
        <w:t xml:space="preserve">Model 2: The Standard STP (GRUD) Approach:</w:t>
      </w:r>
      <w:r>
        <w:t xml:space="preserve"> </w:t>
      </w:r>
      <w:r>
        <w:t xml:space="preserve">Utilized the standard Swiss static soil tests (</w:t>
      </w:r>
      <m:oMath>
        <m:sSub>
          <m:e>
            <m:r>
              <m:t>P</m:t>
            </m:r>
          </m:e>
          <m:sub>
            <m:r>
              <m:t>C</m:t>
            </m:r>
            <m:r>
              <m:t>O</m:t>
            </m:r>
            <m:r>
              <m:t>2</m:t>
            </m:r>
          </m:sub>
        </m:sSub>
      </m:oMath>
      <w:r>
        <w:t xml:space="preserve"> </w:t>
      </w:r>
      <w:r>
        <w:t xml:space="preserve">and</w:t>
      </w:r>
      <w:r>
        <w:t xml:space="preserve"> </w:t>
      </w:r>
      <m:oMath>
        <m:sSub>
          <m:e>
            <m:r>
              <m:t>P</m:t>
            </m:r>
          </m:e>
          <m:sub>
            <m:r>
              <m:t>A</m:t>
            </m:r>
            <m:r>
              <m:t>A</m:t>
            </m:r>
            <m:r>
              <m:t>E</m:t>
            </m:r>
            <m:r>
              <m:t>10</m:t>
            </m:r>
          </m:sub>
        </m:sSub>
      </m:oMath>
      <w:r>
        <w:t xml:space="preserve">) and their interaction as fixed effects.</w:t>
      </w:r>
    </w:p>
    <w:p>
      <w:pPr>
        <w:pStyle w:val="SourceCode"/>
      </w:pPr>
      <w:r>
        <w:rPr>
          <w:rStyle w:val="CommentTok"/>
        </w:rPr>
        <w:t xml:space="preserve">#| label: tbl-variables-updated</w:t>
      </w:r>
      <w:r>
        <w:br/>
      </w:r>
      <w:r>
        <w:rPr>
          <w:rStyle w:val="CommentTok"/>
        </w:rPr>
        <w:t xml:space="preserve">#| tbl-cap: "Description of key variables used in the thermodynamic and agronomic models."</w:t>
      </w:r>
      <w:r>
        <w:br/>
      </w:r>
      <w:r>
        <w:br/>
      </w:r>
      <w:r>
        <w:rPr>
          <w:rStyle w:val="NormalTok"/>
        </w:rPr>
        <w:t xml:space="preserve">variables_df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Abbreviation =</w:t>
      </w:r>
      <w:r>
        <w:rPr>
          <w:rStyle w:val="NormalTok"/>
        </w:rPr>
        <w:t xml:space="preserve"> </w:t>
      </w:r>
      <w:r>
        <w:rPr>
          <w:rStyle w:val="FunctionTok"/>
        </w:rPr>
        <w:t xml:space="preserve">c</w:t>
      </w:r>
      <w:r>
        <w:rPr>
          <w:rStyle w:val="NormalTok"/>
        </w:rPr>
        <w:t xml:space="preserve">(</w:t>
      </w:r>
      <w:r>
        <w:rPr>
          <w:rStyle w:val="StringTok"/>
        </w:rPr>
        <w:t xml:space="preserve">"$Y_{rel</w:t>
      </w:r>
      <w:r>
        <w:rPr>
          <w:rStyle w:val="SpecialCharTok"/>
        </w:rPr>
        <w:t xml:space="preserve">\\</w:t>
      </w:r>
      <w:r>
        <w:rPr>
          <w:rStyle w:val="StringTok"/>
        </w:rPr>
        <w:t xml:space="preserve">_hist}$"</w:t>
      </w:r>
      <w:r>
        <w:rPr>
          <w:rStyle w:val="NormalTok"/>
        </w:rPr>
        <w:t xml:space="preserve">, </w:t>
      </w:r>
      <w:r>
        <w:rPr>
          <w:rStyle w:val="StringTok"/>
        </w:rPr>
        <w:t xml:space="preserve">"$Uptake_{rel}$"</w:t>
      </w:r>
      <w:r>
        <w:rPr>
          <w:rStyle w:val="NormalTok"/>
        </w:rPr>
        <w:t xml:space="preserve">, </w:t>
      </w:r>
      <w:r>
        <w:rPr>
          <w:rStyle w:val="StringTok"/>
        </w:rPr>
        <w:t xml:space="preserve">"$P_{bal}$"</w:t>
      </w:r>
      <w:r>
        <w:rPr>
          <w:rStyle w:val="NormalTok"/>
        </w:rPr>
        <w:t xml:space="preserve">, </w:t>
      </w:r>
      <w:r>
        <w:br/>
      </w:r>
      <w:r>
        <w:rPr>
          <w:rStyle w:val="NormalTok"/>
        </w:rPr>
        <w:t xml:space="preserve">                   </w:t>
      </w:r>
      <w:r>
        <w:rPr>
          <w:rStyle w:val="StringTok"/>
        </w:rPr>
        <w:t xml:space="preserve">"$k$"</w:t>
      </w:r>
      <w:r>
        <w:rPr>
          <w:rStyle w:val="NormalTok"/>
        </w:rPr>
        <w:t xml:space="preserve">, </w:t>
      </w:r>
      <w:r>
        <w:rPr>
          <w:rStyle w:val="StringTok"/>
        </w:rPr>
        <w:t xml:space="preserve">"$a_{max}$"</w:t>
      </w:r>
      <w:r>
        <w:rPr>
          <w:rStyle w:val="NormalTok"/>
        </w:rPr>
        <w:t xml:space="preserve">, </w:t>
      </w:r>
      <w:r>
        <w:rPr>
          <w:rStyle w:val="StringTok"/>
        </w:rPr>
        <w:t xml:space="preserve">"$J_0$"</w:t>
      </w:r>
      <w:r>
        <w:rPr>
          <w:rStyle w:val="NormalTok"/>
        </w:rPr>
        <w:t xml:space="preserve">, </w:t>
      </w:r>
      <w:r>
        <w:br/>
      </w:r>
      <w:r>
        <w:rPr>
          <w:rStyle w:val="NormalTok"/>
        </w:rPr>
        <w:t xml:space="preserve">                   </w:t>
      </w:r>
      <w:r>
        <w:rPr>
          <w:rStyle w:val="StringTok"/>
        </w:rPr>
        <w:t xml:space="preserve">"$P_{AAE10}$"</w:t>
      </w:r>
      <w:r>
        <w:rPr>
          <w:rStyle w:val="NormalTok"/>
        </w:rPr>
        <w:t xml:space="preserve">, </w:t>
      </w:r>
      <w:r>
        <w:rPr>
          <w:rStyle w:val="StringTok"/>
        </w:rPr>
        <w:t xml:space="preserve">"$</w:t>
      </w:r>
      <w:r>
        <w:rPr>
          <w:rStyle w:val="SpecialCharTok"/>
        </w:rPr>
        <w:t xml:space="preserve">\\</w:t>
      </w:r>
      <w:r>
        <w:rPr>
          <w:rStyle w:val="StringTok"/>
        </w:rPr>
        <w:t xml:space="preserve">text{PBC}$"</w:t>
      </w:r>
      <w:r>
        <w:rPr>
          <w:rStyle w:val="NormalTok"/>
        </w:rPr>
        <w:t xml:space="preserve">),</w:t>
      </w:r>
      <w:r>
        <w:br/>
      </w:r>
      <w:r>
        <w:rPr>
          <w:rStyle w:val="NormalTok"/>
        </w:rPr>
        <w:t xml:space="preserve">  </w:t>
      </w:r>
      <w:r>
        <w:rPr>
          <w:rStyle w:val="StringTok"/>
        </w:rPr>
        <w:t xml:space="preserve">`</w:t>
      </w:r>
      <w:r>
        <w:rPr>
          <w:rStyle w:val="AttributeTok"/>
        </w:rPr>
        <w:t xml:space="preserve">Variable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"Relative Yield (Historic)"</w:t>
      </w:r>
      <w:r>
        <w:rPr>
          <w:rStyle w:val="NormalTok"/>
        </w:rPr>
        <w:t xml:space="preserve">, </w:t>
      </w:r>
      <w:r>
        <w:rPr>
          <w:rStyle w:val="StringTok"/>
        </w:rPr>
        <w:t xml:space="preserve">"Relative P Uptake"</w:t>
      </w:r>
      <w:r>
        <w:rPr>
          <w:rStyle w:val="NormalTok"/>
        </w:rPr>
        <w:t xml:space="preserve">, </w:t>
      </w:r>
      <w:r>
        <w:rPr>
          <w:rStyle w:val="StringTok"/>
        </w:rPr>
        <w:t xml:space="preserve">"Cumulative P Balance"</w:t>
      </w:r>
      <w:r>
        <w:rPr>
          <w:rStyle w:val="NormalTok"/>
        </w:rPr>
        <w:t xml:space="preserve">, </w:t>
      </w:r>
      <w:r>
        <w:br/>
      </w:r>
      <w:r>
        <w:rPr>
          <w:rStyle w:val="NormalTok"/>
        </w:rPr>
        <w:t xml:space="preserve">                 </w:t>
      </w:r>
      <w:r>
        <w:rPr>
          <w:rStyle w:val="StringTok"/>
        </w:rPr>
        <w:t xml:space="preserve">"Rate Constant"</w:t>
      </w:r>
      <w:r>
        <w:rPr>
          <w:rStyle w:val="NormalTok"/>
        </w:rPr>
        <w:t xml:space="preserve">, </w:t>
      </w:r>
      <w:r>
        <w:rPr>
          <w:rStyle w:val="StringTok"/>
        </w:rPr>
        <w:t xml:space="preserve">"Maximum Activity (Intensity)"</w:t>
      </w:r>
      <w:r>
        <w:rPr>
          <w:rStyle w:val="NormalTok"/>
        </w:rPr>
        <w:t xml:space="preserve">, </w:t>
      </w:r>
      <w:r>
        <w:rPr>
          <w:rStyle w:val="StringTok"/>
        </w:rPr>
        <w:t xml:space="preserve">"Activity Flux"</w:t>
      </w:r>
      <w:r>
        <w:rPr>
          <w:rStyle w:val="NormalTok"/>
        </w:rPr>
        <w:t xml:space="preserve">, </w:t>
      </w:r>
      <w:r>
        <w:br/>
      </w:r>
      <w:r>
        <w:rPr>
          <w:rStyle w:val="NormalTok"/>
        </w:rPr>
        <w:t xml:space="preserve">                 </w:t>
      </w:r>
      <w:r>
        <w:rPr>
          <w:rStyle w:val="StringTok"/>
        </w:rPr>
        <w:t xml:space="preserve">"Standard Mass (Quantity)"</w:t>
      </w:r>
      <w:r>
        <w:rPr>
          <w:rStyle w:val="NormalTok"/>
        </w:rPr>
        <w:t xml:space="preserve">, </w:t>
      </w:r>
      <w:r>
        <w:rPr>
          <w:rStyle w:val="StringTok"/>
        </w:rPr>
        <w:t xml:space="preserve">"Phosphorus Buffering Capacity"</w:t>
      </w:r>
      <w:r>
        <w:rPr>
          <w:rStyle w:val="NormalTok"/>
        </w:rPr>
        <w:t xml:space="preserve">),</w:t>
      </w:r>
      <w:r>
        <w:br/>
      </w:r>
      <w:r>
        <w:rPr>
          <w:rStyle w:val="NormalTok"/>
        </w:rPr>
        <w:t xml:space="preserve">  </w:t>
      </w:r>
      <w:r>
        <w:rPr>
          <w:rStyle w:val="AttributeTok"/>
        </w:rPr>
        <w:t xml:space="preserve">Unit =</w:t>
      </w:r>
      <w:r>
        <w:rPr>
          <w:rStyle w:val="NormalTok"/>
        </w:rPr>
        <w:t xml:space="preserve"> </w:t>
      </w:r>
      <w:r>
        <w:rPr>
          <w:rStyle w:val="FunctionTok"/>
        </w:rPr>
        <w:t xml:space="preserve">c</w:t>
      </w:r>
      <w:r>
        <w:rPr>
          <w:rStyle w:val="NormalTok"/>
        </w:rPr>
        <w:t xml:space="preserve">(</w:t>
      </w:r>
      <w:r>
        <w:rPr>
          <w:rStyle w:val="StringTok"/>
        </w:rPr>
        <w:t xml:space="preserve">"unitless"</w:t>
      </w:r>
      <w:r>
        <w:rPr>
          <w:rStyle w:val="NormalTok"/>
        </w:rPr>
        <w:t xml:space="preserve">, </w:t>
      </w:r>
      <w:r>
        <w:rPr>
          <w:rStyle w:val="StringTok"/>
        </w:rPr>
        <w:t xml:space="preserve">"unitless"</w:t>
      </w:r>
      <w:r>
        <w:rPr>
          <w:rStyle w:val="NormalTok"/>
        </w:rPr>
        <w:t xml:space="preserve">, </w:t>
      </w:r>
      <w:r>
        <w:rPr>
          <w:rStyle w:val="StringTok"/>
        </w:rPr>
        <w:t xml:space="preserve">"kg P ha⁻¹"</w:t>
      </w:r>
      <w:r>
        <w:rPr>
          <w:rStyle w:val="NormalTok"/>
        </w:rPr>
        <w:t xml:space="preserve">, </w:t>
      </w:r>
      <w:r>
        <w:br/>
      </w:r>
      <w:r>
        <w:rPr>
          <w:rStyle w:val="NormalTok"/>
        </w:rPr>
        <w:t xml:space="preserve">           </w:t>
      </w:r>
      <w:r>
        <w:rPr>
          <w:rStyle w:val="StringTok"/>
        </w:rPr>
        <w:t xml:space="preserve">"min⁻¹"</w:t>
      </w:r>
      <w:r>
        <w:rPr>
          <w:rStyle w:val="NormalTok"/>
        </w:rPr>
        <w:t xml:space="preserve">, </w:t>
      </w:r>
      <w:r>
        <w:rPr>
          <w:rStyle w:val="StringTok"/>
        </w:rPr>
        <w:t xml:space="preserve">"µM"</w:t>
      </w:r>
      <w:r>
        <w:rPr>
          <w:rStyle w:val="NormalTok"/>
        </w:rPr>
        <w:t xml:space="preserve">, </w:t>
      </w:r>
      <w:r>
        <w:rPr>
          <w:rStyle w:val="StringTok"/>
        </w:rPr>
        <w:t xml:space="preserve">"µM min⁻¹"</w:t>
      </w:r>
      <w:r>
        <w:rPr>
          <w:rStyle w:val="NormalTok"/>
        </w:rPr>
        <w:t xml:space="preserve">, </w:t>
      </w:r>
      <w:r>
        <w:br/>
      </w:r>
      <w:r>
        <w:rPr>
          <w:rStyle w:val="NormalTok"/>
        </w:rPr>
        <w:t xml:space="preserve">           </w:t>
      </w:r>
      <w:r>
        <w:rPr>
          <w:rStyle w:val="StringTok"/>
        </w:rPr>
        <w:t xml:space="preserve">"mg P kg⁻¹"</w:t>
      </w:r>
      <w:r>
        <w:rPr>
          <w:rStyle w:val="NormalTok"/>
        </w:rPr>
        <w:t xml:space="preserve">, </w:t>
      </w:r>
      <w:r>
        <w:rPr>
          <w:rStyle w:val="StringTok"/>
        </w:rPr>
        <w:t xml:space="preserve">"mg kg⁻¹ µM⁻¹"</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"Plot yield normalized by the site/crop-specific 95th percentile of historical well-fertilized yields."</w:t>
      </w:r>
      <w:r>
        <w:rPr>
          <w:rStyle w:val="NormalTok"/>
        </w:rPr>
        <w:t xml:space="preserve">,</w:t>
      </w:r>
      <w:r>
        <w:br/>
      </w:r>
      <w:r>
        <w:rPr>
          <w:rStyle w:val="NormalTok"/>
        </w:rPr>
        <w:t xml:space="preserve">    </w:t>
      </w:r>
      <w:r>
        <w:rPr>
          <w:rStyle w:val="StringTok"/>
        </w:rPr>
        <w:t xml:space="preserve">"Plot P-uptake normalized by historical maximum uptake for the specific site and crop."</w:t>
      </w:r>
      <w:r>
        <w:rPr>
          <w:rStyle w:val="NormalTok"/>
        </w:rPr>
        <w:t xml:space="preserve">,</w:t>
      </w:r>
      <w:r>
        <w:br/>
      </w:r>
      <w:r>
        <w:rPr>
          <w:rStyle w:val="NormalTok"/>
        </w:rPr>
        <w:t xml:space="preserve">    </w:t>
      </w:r>
      <w:r>
        <w:rPr>
          <w:rStyle w:val="StringTok"/>
        </w:rPr>
        <w:t xml:space="preserve">"Long-term net P budget (inputs minus outputs)."</w:t>
      </w:r>
      <w:r>
        <w:rPr>
          <w:rStyle w:val="NormalTok"/>
        </w:rPr>
        <w:t xml:space="preserve">,</w:t>
      </w:r>
      <w:r>
        <w:br/>
      </w:r>
      <w:r>
        <w:rPr>
          <w:rStyle w:val="NormalTok"/>
        </w:rPr>
        <w:t xml:space="preserve">    </w:t>
      </w:r>
      <w:r>
        <w:rPr>
          <w:rStyle w:val="StringTok"/>
        </w:rPr>
        <w:t xml:space="preserve">"First-order rate constant of P desorption."</w:t>
      </w:r>
      <w:r>
        <w:rPr>
          <w:rStyle w:val="NormalTok"/>
        </w:rPr>
        <w:t xml:space="preserve">,</w:t>
      </w:r>
      <w:r>
        <w:br/>
      </w:r>
      <w:r>
        <w:rPr>
          <w:rStyle w:val="NormalTok"/>
        </w:rPr>
        <w:t xml:space="preserve">    </w:t>
      </w:r>
      <w:r>
        <w:rPr>
          <w:rStyle w:val="StringTok"/>
        </w:rPr>
        <w:t xml:space="preserve">"Davies-corrected thermodynamic activity asymptote of the water-desorbable P pool."</w:t>
      </w:r>
      <w:r>
        <w:rPr>
          <w:rStyle w:val="NormalTok"/>
        </w:rPr>
        <w:t xml:space="preserve">,</w:t>
      </w:r>
      <w:r>
        <w:br/>
      </w:r>
      <w:r>
        <w:rPr>
          <w:rStyle w:val="NormalTok"/>
        </w:rPr>
        <w:t xml:space="preserve">    </w:t>
      </w:r>
      <w:r>
        <w:rPr>
          <w:rStyle w:val="StringTok"/>
        </w:rPr>
        <w:t xml:space="preserve">"Initial thermodynamic supply rate, calculated as $k </w:t>
      </w:r>
      <w:r>
        <w:rPr>
          <w:rStyle w:val="SpecialCharTok"/>
        </w:rPr>
        <w:t xml:space="preserve">\\</w:t>
      </w:r>
      <w:r>
        <w:rPr>
          <w:rStyle w:val="StringTok"/>
        </w:rPr>
        <w:t xml:space="preserve">times a_{max}$."</w:t>
      </w:r>
      <w:r>
        <w:rPr>
          <w:rStyle w:val="NormalTok"/>
        </w:rPr>
        <w:t xml:space="preserve">,</w:t>
      </w:r>
      <w:r>
        <w:br/>
      </w:r>
      <w:r>
        <w:rPr>
          <w:rStyle w:val="NormalTok"/>
        </w:rPr>
        <w:t xml:space="preserve">    </w:t>
      </w:r>
      <w:r>
        <w:rPr>
          <w:rStyle w:val="StringTok"/>
        </w:rPr>
        <w:t xml:space="preserve">"Physical mass of extractable P (AAE10 method), acting as the Q-factor."</w:t>
      </w:r>
      <w:r>
        <w:rPr>
          <w:rStyle w:val="NormalTok"/>
        </w:rPr>
        <w:t xml:space="preserve">,</w:t>
      </w:r>
      <w:r>
        <w:br/>
      </w:r>
      <w:r>
        <w:rPr>
          <w:rStyle w:val="NormalTok"/>
        </w:rPr>
        <w:t xml:space="preserve">    </w:t>
      </w:r>
      <w:r>
        <w:rPr>
          <w:rStyle w:val="StringTok"/>
        </w:rPr>
        <w:t xml:space="preserve">"The mathematical derivative ($dQ/dI$) of the site-specific Freundlich isotherm."</w:t>
      </w:r>
      <w:r>
        <w:br/>
      </w:r>
      <w:r>
        <w:rPr>
          <w:rStyle w:val="NormalTok"/>
        </w:rPr>
        <w:t xml:space="preserve">  )</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(variables_df)</w:t>
      </w:r>
    </w:p>
    <w:bookmarkEnd w:id="17"/>
    <w:bookmarkStart w:id="29" w:name="X44bb14175a86972320c11f91acf6da54ae42ffd"/>
    <w:p>
      <w:pPr>
        <w:pStyle w:val="Heading3"/>
      </w:pPr>
      <w:r>
        <w:t xml:space="preserve">1.4.5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 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shifted to thermodynamic activity (</w:t>
      </w:r>
      <m:oMath>
        <m:sSub>
          <m:e>
            <m:r>
              <m:t>a</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a</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a</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a</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a</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a</m:t>
              </m:r>
            </m:e>
            <m:sub>
              <m:r>
                <m:t>m</m:t>
              </m:r>
              <m:r>
                <m:t>a</m:t>
              </m:r>
              <m:r>
                <m:t>x</m:t>
              </m:r>
            </m:sub>
          </m:sSub>
          <m:r>
            <m:rPr>
              <m:sty m:val="p"/>
            </m:rPr>
            <m:t>−</m:t>
          </m:r>
          <m:sSub>
            <m:e>
              <m:r>
                <m:t>a</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 accounting for both high-affinity (PHT1) and low-affinity (LATS) transporter kinetics responding directly to chemical activity:</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1</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num>
            <m:den>
              <m:sSub>
                <m:e>
                  <m:r>
                    <m:t>K</m:t>
                  </m:r>
                </m:e>
                <m:sub>
                  <m:r>
                    <m:t>m</m:t>
                  </m:r>
                  <m:r>
                    <m:t>2</m:t>
                  </m:r>
                </m:sub>
              </m:sSub>
              <m:r>
                <m:rPr>
                  <m:sty m:val="p"/>
                </m:rPr>
                <m:t>+</m:t>
              </m:r>
              <m:r>
                <m:rPr>
                  <m:sty m:val="p"/>
                </m:rPr>
                <m:t>(</m:t>
              </m:r>
              <m:sSub>
                <m:e>
                  <m:r>
                    <m:t>a</m:t>
                  </m:r>
                </m:e>
                <m:sub>
                  <m:r>
                    <m:t>l</m:t>
                  </m:r>
                </m:sub>
              </m:sSub>
              <m:r>
                <m:rPr>
                  <m:sty m:val="p"/>
                </m:rPr>
                <m:t>−</m:t>
              </m:r>
              <m:sSub>
                <m:e>
                  <m:r>
                    <m:t>a</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bookmarkStart w:id="28" w:name="refs"/>
    <w:bookmarkStart w:id="19" w:name="ref-R-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18">
        <w:r>
          <w:rPr>
            <w:rStyle w:val="Hyperlink"/>
          </w:rPr>
          <w:t xml:space="preserve">https://doi.org/10.18637/jss.v067.i01</w:t>
        </w:r>
      </w:hyperlink>
    </w:p>
    <w:bookmarkEnd w:id="19"/>
    <w:bookmarkStart w:id="20"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20"/>
    <w:bookmarkStart w:id="22"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21">
        <w:r>
          <w:rPr>
            <w:rStyle w:val="Hyperlink"/>
          </w:rPr>
          <w:t xml:space="preserve">https://doi.org/10.1016/j.scitotenv.2020.143453</w:t>
        </w:r>
      </w:hyperlink>
    </w:p>
    <w:bookmarkEnd w:id="22"/>
    <w:bookmarkStart w:id="24" w:name="ref-R-nlme"/>
    <w:p>
      <w:pPr>
        <w:pStyle w:val="Bibliography"/>
      </w:pPr>
      <w:r>
        <w:t xml:space="preserve">Pinheiro, J., Bates, D., DebRoy, S., Sarkar, D., &amp; R Core Team. (2022).</w:t>
      </w:r>
      <w:r>
        <w:t xml:space="preserve"> </w:t>
      </w:r>
      <w:r>
        <w:rPr>
          <w:i/>
          <w:iCs/>
        </w:rPr>
        <w:t xml:space="preserve">Nlme: Linear and nonlinear mixed effects models</w:t>
      </w:r>
      <w:r>
        <w:t xml:space="preserve">.</w:t>
      </w:r>
      <w:r>
        <w:t xml:space="preserve"> </w:t>
      </w:r>
      <w:hyperlink r:id="rId23">
        <w:r>
          <w:rPr>
            <w:rStyle w:val="Hyperlink"/>
          </w:rPr>
          <w:t xml:space="preserve">https://CRAN.R-project.org/package=nlme</w:t>
        </w:r>
      </w:hyperlink>
    </w:p>
    <w:bookmarkEnd w:id="24"/>
    <w:bookmarkStart w:id="26" w:name="ref-R-base"/>
    <w:p>
      <w:pPr>
        <w:pStyle w:val="Bibliography"/>
      </w:pPr>
      <w:r>
        <w:t xml:space="preserve">R Core Team. (2022).</w:t>
      </w:r>
      <w:r>
        <w:t xml:space="preserve"> </w:t>
      </w:r>
      <w:r>
        <w:rPr>
          <w:i/>
          <w:iCs/>
        </w:rPr>
        <w:t xml:space="preserve">R: A language and environment for statistical computing</w:t>
      </w:r>
      <w:r>
        <w:t xml:space="preserve">. R Foundation for Statistical Computing.</w:t>
      </w:r>
      <w:r>
        <w:t xml:space="preserve"> </w:t>
      </w:r>
      <w:hyperlink r:id="rId25">
        <w:r>
          <w:rPr>
            <w:rStyle w:val="Hyperlink"/>
          </w:rPr>
          <w:t xml:space="preserve">https://www.R-project.org/</w:t>
        </w:r>
      </w:hyperlink>
    </w:p>
    <w:bookmarkEnd w:id="26"/>
    <w:bookmarkStart w:id="27"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27"/>
    <w:bookmarkEnd w:id="28"/>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s://CRAN.R-project.org/package=nlme" TargetMode="External" /><Relationship Type="http://schemas.openxmlformats.org/officeDocument/2006/relationships/hyperlink" Id="rId21" Target="https://doi.org/10.1016/j.scitotenv.2020.143453" TargetMode="External" /><Relationship Type="http://schemas.openxmlformats.org/officeDocument/2006/relationships/hyperlink" Id="rId18" Target="https://doi.org/10.18637/jss.v067.i01" TargetMode="External" /><Relationship Type="http://schemas.openxmlformats.org/officeDocument/2006/relationships/hyperlink" Id="rId2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23" Target="https://CRAN.R-project.org/package=nlme" TargetMode="External" /><Relationship Type="http://schemas.openxmlformats.org/officeDocument/2006/relationships/hyperlink" Id="rId21" Target="https://doi.org/10.1016/j.scitotenv.2020.143453" TargetMode="External" /><Relationship Type="http://schemas.openxmlformats.org/officeDocument/2006/relationships/hyperlink" Id="rId18" Target="https://doi.org/10.18637/jss.v067.i01" TargetMode="External" /><Relationship Type="http://schemas.openxmlformats.org/officeDocument/2006/relationships/hyperlink" Id="rId2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2026-04-10T10:52:48Z</dcterms:created>
  <dcterms:modified xsi:type="dcterms:W3CDTF">2026-04-10T10:52:48Z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