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c02b1095fe035d2f218bf14431ef63629f299b5"/>
    <w:p>
      <w:pPr>
        <w:pStyle w:val="Heading1"/>
      </w:pPr>
      <w:r>
        <w:t xml:space="preserve">1. Appendix: Thermodynamic Correction of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t xml:space="preserve">Extractions</w:t>
      </w:r>
    </w:p>
    <w:bookmarkStart w:id="9" w:name="Xdd52081602f5faa9508128f35f776531d43bf68"/>
    <w:p>
      <w:pPr>
        <w:pStyle w:val="Heading2"/>
      </w:pPr>
      <w:r>
        <w:t xml:space="preserve">1.1 A.1. Intrinsic Ionic Strength of the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t xml:space="preserve">Extractant</w:t>
      </w:r>
    </w:p>
    <w:p>
      <w:pPr>
        <w:pStyle w:val="FirstParagraph"/>
      </w:pPr>
      <w:r>
        <w:t xml:space="preserve">Standard static soil test methods rely on the operational extraction of phosphorus. Strong extractants (e.g., Olsen P, P-AAE10) possess inherently high ionic strengths that dominate the soil matrix, rendering absolute thermodynamic comparisons invalid without complex modeling. In contrast, the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t xml:space="preserve">method utilizes a very weak extractant: water saturated with carbon dioxide at atmospheric pressure (1 atm) and 25 °C.</w:t>
      </w:r>
    </w:p>
    <w:p>
      <w:pPr>
        <w:pStyle w:val="BodyText"/>
      </w:pPr>
      <w:r>
        <w:t xml:space="preserve">To demonstrate that the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t xml:space="preserve">extractant adopts the native ionic strength of the soil, we calculate the intrinsic ionic strength (</w:t>
      </w:r>
      <m:oMath>
        <m:r>
          <m:t>I</m:t>
        </m:r>
      </m:oMath>
      <w:r>
        <w:t xml:space="preserve">) of the pure extractant.</w:t>
      </w:r>
    </w:p>
    <w:p>
      <w:pPr>
        <w:pStyle w:val="BodyText"/>
      </w:pPr>
      <w:r>
        <w:t xml:space="preserve">According to Henry’s Law, the concentration of dissolved</w:t>
      </w:r>
      <w: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(denoted as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Sup>
            <m:e>
              <m: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</m:oMath>
      </m:oMathPara>
    </w:p>
    <w:p>
      <w:pPr>
        <w:pStyle w:val="FirstParagraph"/>
      </w:pPr>
      <w:r>
        <w:t xml:space="preserve">Given Henry’s constant (</w:t>
      </w:r>
      <m:oMath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≈</m:t>
        </m:r>
        <m:r>
          <m:t>0.034</m:t>
        </m:r>
        <m:sSup>
          <m:e>
            <m:r>
              <m:rPr>
                <m:nor/>
                <m:sty m:val="p"/>
              </m:rPr>
              <m:t> M atm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and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 atm</m:t>
        </m:r>
      </m:oMath>
      <w:r>
        <w:t xml:space="preserve">, the molarity of dissolved</w:t>
      </w:r>
      <w: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approximately</w:t>
      </w:r>
      <w:r>
        <w:t xml:space="preserve"> </w:t>
      </w:r>
      <m:oMath>
        <m:r>
          <m:t>0.034</m:t>
        </m:r>
        <m:r>
          <m:rPr>
            <m:nor/>
            <m:sty m:val="p"/>
          </m:rPr>
          <m:t> M</m:t>
        </m:r>
      </m:oMath>
      <w:r>
        <w:t xml:space="preserve">.</w:t>
      </w:r>
    </w:p>
    <w:p>
      <w:pPr>
        <w:pStyle w:val="BodyText"/>
      </w:pPr>
      <w:r>
        <w:t xml:space="preserve">The primary ionic species generated arise from the first dissociation of carbonic acid: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Sup>
            <m:e>
              <m: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⇌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H</m:t>
          </m:r>
          <m:r>
            <m:t>C</m:t>
          </m:r>
          <m:sSubSup>
            <m:e>
              <m: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t xml:space="preserve">Using the acid dissociation constant (</w:t>
      </w:r>
      <m:oMath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4.46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at 25 °C):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t>H</m:t>
              </m:r>
              <m:r>
                <m:t>C</m:t>
              </m:r>
              <m:sSubSup>
                <m:e>
                  <m: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sSubSup>
                <m:e>
                  <m: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>
          <m:rPr>
            <m:sty m:val="p"/>
          </m:rPr>
          <m:t>[</m:t>
        </m:r>
        <m:r>
          <m:t>H</m:t>
        </m:r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t xml:space="preserve">, we can solve for the bicarbonate concentration: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H</m:t>
          </m:r>
          <m:r>
            <m:t>C</m:t>
          </m:r>
          <m:sSubSup>
            <m:e>
              <m: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4.46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0.034</m:t>
              </m:r>
            </m:e>
          </m:rad>
          <m:r>
            <m:rPr>
              <m:sty m:val="p"/>
            </m:rPr>
            <m:t>≈</m:t>
          </m:r>
          <m:r>
            <m:t>1.23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t xml:space="preserve">The intrinsic ionic strength (</w:t>
      </w:r>
      <m:oMath>
        <m:r>
          <m:t>I</m:t>
        </m:r>
      </m:oMath>
      <w:r>
        <w:t xml:space="preserve">) of the extractant is defined as: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∑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sSubSup>
            <m:e>
              <m:r>
                <m:t>z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1.23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1.23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≈</m:t>
          </m:r>
          <m:r>
            <m:t>0.00012</m:t>
          </m:r>
          <m:r>
            <m:rPr>
              <m:nor/>
              <m:sty m:val="p"/>
            </m:rPr>
            <m:t> M</m:t>
          </m:r>
        </m:oMath>
      </m:oMathPara>
    </w:p>
    <w:p>
      <w:pPr>
        <w:pStyle w:val="FirstParagraph"/>
      </w:pPr>
      <w:r>
        <w:t xml:space="preserve">This intrinsic ionic strength (</w:t>
      </w:r>
      <m:oMath>
        <m:r>
          <m:rPr>
            <m:sty m:val="p"/>
          </m:rPr>
          <m:t>≈</m:t>
        </m:r>
        <m:r>
          <m:t>0.12</m:t>
        </m:r>
        <m:r>
          <m:rPr>
            <m:nor/>
            <m:sty m:val="p"/>
          </m:rPr>
          <m:t> mM</m:t>
        </m:r>
      </m:oMath>
      <w:r>
        <w:t xml:space="preserve">) is infinitesimally small compared to native agricultural soil solutions (which typically range from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50</m:t>
        </m:r>
        <m:r>
          <m:rPr>
            <m:nor/>
            <m:sty m:val="p"/>
          </m:rPr>
          <m:t> mM</m:t>
        </m:r>
      </m:oMath>
      <w:r>
        <w:t xml:space="preserve">). Therefore, the final ionic strength of the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t xml:space="preserve">extract is overwhelmingly dictated by the dissolved soluble salts of the specific soil being analyzed.</w:t>
      </w:r>
    </w:p>
    <w:bookmarkEnd w:id="9"/>
    <w:bookmarkStart w:id="10" w:name="X8ef57afce3e26af86625f37a3880dd9c4114bfc"/>
    <w:p>
      <w:pPr>
        <w:pStyle w:val="Heading2"/>
      </w:pPr>
      <w:r>
        <w:t xml:space="preserve">1.2 A.2. Justification for the Davies Equation</w:t>
      </w:r>
    </w:p>
    <w:p>
      <w:pPr>
        <w:pStyle w:val="FirstParagraph"/>
      </w:pPr>
      <w:r>
        <w:t xml:space="preserve">Because the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t xml:space="preserve">extract adopts the native ionic composition of the soil, reading the orthophosphate concentrations against an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(distilled water) calibration curve introduces systematic error. The true thermodynamic driving force for P-availability is the chemical</w:t>
      </w:r>
      <w:r>
        <w:t xml:space="preserve"> </w:t>
      </w:r>
      <w:r>
        <w:rPr>
          <w:b/>
          <w:bCs/>
        </w:rPr>
        <w:t xml:space="preserve">activity</w:t>
      </w:r>
      <w:r>
        <w:t xml:space="preserve">, not the stoichiometric concentration.</w:t>
      </w:r>
    </w:p>
    <w:p>
      <w:pPr>
        <w:pStyle w:val="BodyText"/>
      </w:pPr>
      <w:r>
        <w:t xml:space="preserve">To correct for this, an activity coefficient (</w:t>
      </w:r>
      <m:oMath>
        <m:r>
          <m:t>γ</m:t>
        </m:r>
      </m:oMath>
      <w:r>
        <w:t xml:space="preserve">) must be applied. While the Pitzer equations are the gold standard for high-ionic-strength solutions (</w:t>
      </w:r>
      <m:oMath>
        <m:r>
          <m:t>I</m:t>
        </m:r>
        <m:r>
          <m:rPr>
            <m:sty m:val="p"/>
          </m:rPr>
          <m:t>&gt;</m:t>
        </m:r>
        <m:r>
          <m:t>0.5</m:t>
        </m:r>
        <m:r>
          <m:rPr>
            <m:nor/>
            <m:sty m:val="p"/>
          </m:rPr>
          <m:t> M</m:t>
        </m:r>
      </m:oMath>
      <w:r>
        <w:t xml:space="preserve">, such as the P-AAE10 extractant), the ionic strength of native agricultural soil solutions is typically much lower (</w:t>
      </w:r>
      <m:oMath>
        <m:r>
          <m:t>I</m:t>
        </m:r>
        <m:r>
          <m:rPr>
            <m:sty m:val="p"/>
          </m:rPr>
          <m:t>&lt;</m:t>
        </m:r>
        <m:r>
          <m:t>0.1</m:t>
        </m:r>
        <m:r>
          <m:rPr>
            <m:nor/>
            <m:sty m:val="p"/>
          </m:rPr>
          <m:t> M</m:t>
        </m:r>
      </m:oMath>
      <w:r>
        <w:t xml:space="preserve">).</w:t>
      </w:r>
    </w:p>
    <w:p>
      <w:pPr>
        <w:pStyle w:val="BodyText"/>
      </w:pPr>
      <w:r>
        <w:t xml:space="preserve">In this low-to-moderate ionic strength regime, the</w:t>
      </w:r>
      <w:r>
        <w:t xml:space="preserve"> </w:t>
      </w:r>
      <w:r>
        <w:rPr>
          <w:b/>
          <w:bCs/>
        </w:rPr>
        <w:t xml:space="preserve">Davies equation</w:t>
      </w:r>
      <w:r>
        <w:t xml:space="preserve"> </w:t>
      </w:r>
      <w:r>
        <w:t xml:space="preserve">(an empirical extension of the Debye-Hückel theory) is highly accurate and does not require complex, ion-specific interaction parameters.</w:t>
      </w:r>
    </w:p>
    <w:p>
      <w:pPr>
        <w:pStyle w:val="BodyText"/>
      </w:pPr>
      <w:r>
        <w:t xml:space="preserve">The Davies equation calculates the activity coefficient (</w:t>
      </w:r>
      <m:oMath>
        <m:r>
          <m:t>γ</m:t>
        </m:r>
      </m:oMath>
      <w:r>
        <w:t xml:space="preserve">) as follows: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I</m:t>
                      </m:r>
                    </m:e>
                  </m:ra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I</m:t>
                      </m:r>
                    </m:e>
                  </m:rad>
                </m:den>
              </m:f>
              <m:r>
                <m:rPr>
                  <m:sty m:val="p"/>
                </m:rPr>
                <m:t>−</m:t>
              </m:r>
              <m:r>
                <m:t>0.3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*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temperature-dependent constant (</w:t>
      </w:r>
      <m:oMath>
        <m:r>
          <m:rPr>
            <m:sty m:val="p"/>
          </m:rPr>
          <m:t>≈</m:t>
        </m:r>
        <m:r>
          <m:t>0.509</m:t>
        </m:r>
        <m:sSup>
          <m:e>
            <m:r>
              <m:rPr>
                <m:nor/>
                <m:sty m:val="p"/>
              </m:rPr>
              <m:t> L</m:t>
            </m:r>
          </m:e>
          <m:sup>
            <m:r>
              <m:t>0.5</m:t>
            </m:r>
          </m:sup>
        </m:sSup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</m:oMath>
      <w:r>
        <w:t xml:space="preserve"> </w:t>
      </w:r>
      <w:r>
        <w:t xml:space="preserve">for water at 25 °C).</w:t>
      </w:r>
      <w:r>
        <w:t xml:space="preserve"> </w:t>
      </w:r>
      <w:r>
        <w:t xml:space="preserve">*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the charge of the ion in question (for orthophosphate,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depends on pH, predominantly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total ionic strength of the extracted solution, calculated from the measured concentrations of major cations (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).</w:t>
      </w:r>
    </w:p>
    <w:bookmarkEnd w:id="10"/>
    <w:bookmarkStart w:id="13" w:name="X7cfd2e40ece616de93c98fe743f64dd11c88404"/>
    <w:p>
      <w:pPr>
        <w:pStyle w:val="Heading2"/>
      </w:pPr>
      <w:r>
        <w:t xml:space="preserve">1.3 A.3. Implementation of Thermodynamic Correction</w:t>
      </w:r>
    </w:p>
    <w:p>
      <w:pPr>
        <w:pStyle w:val="FirstParagraph"/>
      </w:pPr>
      <w:r>
        <w:t xml:space="preserve">To assess the theoretical P-Intensity (</w:t>
      </w:r>
      <m:oMath>
        <m:r>
          <m:t>I</m:t>
        </m:r>
      </m:oMath>
      <w:r>
        <w:t xml:space="preserve">) and formulate the Phosphorus Buffering Capacity (PBC), the operationally defined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t xml:space="preserve">concentrations are converted to thermodynamic activities using the following sequential steps: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Determine Total Ionic Strength (</w:t>
      </w:r>
      <m:oMath>
        <m:r>
          <m:t>I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Using the measured cation concentrations from the extracts.</w:t>
      </w:r>
    </w:p>
    <w:p>
      <w:pPr>
        <w:pStyle w:val="Compac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[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[</m:t>
              </m:r>
              <m:r>
                <m:t>C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[</m:t>
              </m:r>
              <m:r>
                <m:t>M</m:t>
              </m:r>
              <m:sSup>
                <m:e>
                  <m:r>
                    <m:t>g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Calculate the Activity Coefficient (</w:t>
      </w:r>
      <m:oMath>
        <m:r>
          <m:t>γ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Applying the Davies equation based on the sample’s specific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 Chemical Activity: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Activity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P</m:t>
              </m:r>
            </m:e>
            <m:sub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×</m:t>
          </m:r>
          <m:r>
            <m:t>γ</m:t>
          </m:r>
        </m:oMath>
      </m:oMathPara>
    </w:p>
    <w:p>
      <w:pPr>
        <w:pStyle w:val="FirstParagraph"/>
      </w:pPr>
      <w:r>
        <w:t xml:space="preserve">By standardizing the measurements to their true thermodynamic activity, we remove the analytical bias introduced by varying soil salinity and pedoclimatic history, allowing for an absolute comparison of P-Intensity across all STYCS experimental sites.</w:t>
      </w:r>
      <w:r>
        <w:t xml:space="preserve"> </w:t>
      </w:r>
      <w:r>
        <w:t xml:space="preserve">## A.4 Supplementary Materials and Reproducibility</w:t>
      </w:r>
    </w:p>
    <w:p>
      <w:pPr>
        <w:pStyle w:val="BodyText"/>
      </w:pPr>
      <w:r>
        <w:t xml:space="preserve">This Master’s thesis was produced using a fully reproducible workflow with the</w:t>
      </w:r>
      <w:r>
        <w:t xml:space="preserve"> </w:t>
      </w:r>
      <w:r>
        <w:rPr>
          <w:b/>
          <w:bCs/>
        </w:rPr>
        <w:t xml:space="preserve">Quarto</w:t>
      </w:r>
      <w:r>
        <w:t xml:space="preserve"> </w:t>
      </w:r>
      <w:r>
        <w:t xml:space="preserve">publishing system. All data, R scripts, and analytical notebooks used to generate the figures, tables, and results presented in this work are openly available.</w:t>
      </w:r>
    </w:p>
    <w:p>
      <w:pPr>
        <w:pStyle w:val="BodyText"/>
      </w:pPr>
      <w:r>
        <w:t xml:space="preserve">The complete project can be cloned from the author’s GitHub repository, which contains the raw data, the R code for the kinetic and statistical models, and the Quarto source files.</w:t>
      </w:r>
    </w:p>
    <w:p>
      <w:pPr>
        <w:pStyle w:val="BodyText"/>
      </w:pPr>
      <w:r>
        <w:rPr>
          <w:b/>
          <w:bCs/>
        </w:rPr>
        <w:t xml:space="preserve">GitHub Repository URL: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[https://github.com/ptochosgeorgos/Article-P-desorption-kinetics]</w:t>
        </w:r>
      </w:hyperlink>
    </w:p>
    <w:p>
      <w:pPr>
        <w:pStyle w:val="BodyText"/>
      </w:pPr>
      <w:r>
        <w:t xml:space="preserve">A rendered version of the full project, including the analytical notebooks that document the development process, is also available as a GitHub Pages website at the following URL:</w:t>
      </w:r>
    </w:p>
    <w:p>
      <w:pPr>
        <w:pStyle w:val="BodyText"/>
      </w:pPr>
      <w:r>
        <w:rPr>
          <w:b/>
          <w:bCs/>
        </w:rPr>
        <w:t xml:space="preserve">GitHub Pages Site URL: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[https://ptochosgeorgos.github.io/Article-P-desorption-kinetics/]</w:t>
        </w:r>
      </w:hyperlink>
    </w:p>
    <w:p>
      <w:pPr>
        <w:pStyle w:val="BodyText"/>
      </w:pPr>
      <w:r>
        <w:t xml:space="preserve">This approach ensures full transparency and allows for the complete replication of the findings presented in this thesis.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ptochosgeorgos/Article-P-desorption-kinetics" TargetMode="External" /><Relationship Type="http://schemas.openxmlformats.org/officeDocument/2006/relationships/hyperlink" Id="rId12" Target="https://ptochosgeorgos.github.io/Article-P-desorption-kineti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ptochosgeorgos/Article-P-desorption-kinetics" TargetMode="External" /><Relationship Type="http://schemas.openxmlformats.org/officeDocument/2006/relationships/hyperlink" Id="rId12" Target="https://ptochosgeorgos.github.io/Article-P-desorption-kineti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2026-04-10T10:54:06Z</dcterms:created>
  <dcterms:modified xsi:type="dcterms:W3CDTF">2026-04-10T10:54:06Z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