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moved the Methods to directly follow the Introduction. The stage-by-stage construction of the model (Models 1–4) and the role of each added population are now laid out in the 'Sequential development of the model connectivity' subsection together with the model-sequence figure (Fig. 1), and the dynamics of the initial model in isolation are shown in Fig. 2. A full per-stage dynamical dissection of every elaboration is beyond the scope of this study, but the assembly logic is now explicit.</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tuned by hand. We now state this and the procedure explicitly: intrinsic time constants and tonic drives were set to reproduce the observed respiratory phase durations and swallow count, and synaptic weights were built up stage by stage across Models 1–4 (revised text below).</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Agreed. We rewrote the paragraph to make the figure reference explicit and to clarify the 'Sw. gate' mechanism behind the spontaneous-swallow behavior (revised text below).</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In the model, silencing the pons by inhibition and by ablation are indistinguishable — both set the pontine populations and their descending drive to zero. We have standardized the wording on 'inhibition'/'silencing' throughout, including the former 'lesion'/'transection' usages, consistent with the referenced experimental data (revised text below).</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Addressing this led us to revisit the intrinsic parameters, where we found a dimensional inconsistency: τ_v was reported as 0.005 while the τ_m are of order 10³–10⁴ in the same (ms) equation, and the leak coefficient α = 0.01 acted as a large input gain rather than a leak. We removed α by an exact, dynamics-preserving change of variables (ṽ = α v) that makes the leak unity and moves the gain into the firing-rate slope (s = 30); the membrane time constant is then directly τ_v, which we set to a physiologically realistic 2 ms. Because the system is decomposable into fast and slow subcomponents (τ_v &lt;&lt; τ_m), the responses are insensitive to τ_v over this range, and we verified numerically that the reparametrized model reproduces the original firing-rate dynamics to machine precision — no result or conclusion changes. As requested we added units (τ_m in ms in Table 3, τ_v in ms in the Methods); all other quantities (b, s, weights, drives) are dimensionless (revised text below).</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α was the leak coefficient of the activity variable; the reparametrization above normalizes it to unity, so it is no longer a free parameter (the −v term is now a unit membrane leak). b is a tonic bias that sets each population's baseline excitability — an effective firing threshold. Both are now stated in the Methods (revised text below).</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durations are computed per respiratory cycle over a single deterministic, noise-free simulation, so there is no trial averaging. The previous '±0.05 s' was an artifact of our automated phase-segmentation, not biological variability; because the model settles onto a clean limit cycle, the per-cycle durations are constant. We therefore now report deterministic values without uncertainty (T_i 0.44→1.30 s, T_e 2.37→3.71 s under pontine inhibition) and state the per-cycle measurement explicitly in the Methods (revised text below).</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('Network dynamics and biophysical properties of neurons'). It states that a connectivity-level model cannot, by construction, predict channel- or receptor-specific manipulations, outlines the data that would be needed to do so (transcriptomic, voltage-clamp, conductance-profiling, and dynamic-clamp), and frames the present model as a modest but necessary first step (revised text below).</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now engage this work in the Discussion. Rather than treating it as validation of the inherited three-phase core, we note that our connection weights are hand-set and that this conductance-inference method offers a route to estimate them from data and to test our predicted breathing–swallowing connections; we also concede that it qualifies one of our simplifications (our model has Bötzinger and pontine postinspiratory populations but no separate preBötC one). Both references have been added (revised text below).</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we represent postinspiratory activity with two populations — one in the Bötzinger complex and one in the pons — whereas these recordings show that postinspiratory neurons, including inhibitory subtypes, are also present in the preBötC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