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moved the Methods to directly follow the Introduction. The stage-by-stage construction of the model (Models 1–4) and the role of each added population are now laid out in the 'Sequential development of the model connectivity' subsection together with the model-sequence figure (Fig. 1), and the dynamics of the initial model in isolation are shown in Fig. 2. A full per-stage dynamical dissection of every elaboration is beyond the scope of this study, but the assembly logic is now explicit.</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tuned by hand. We now state this and the procedure explicitly: intrinsic time constants and tonic drives were set to reproduce the observed respiratory phase durations and swallow count, and synaptic weights were built up stage by stage across Models 1–4 (revised text below).</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Agreed. We rewrote the paragraph to make the figure reference explicit and to clarify the 'Sw. gate' mechanism behind the spontaneous-swallow behavior (revised text below).</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In the model, silencing the pons by inhibition and by ablation are indistinguishable — both set the pontine populations and their descending drive to zero. We have standardized the wording on 'inhibition'/'silencing' throughout, including the former 'lesion'/'transection' usages, consistent with the referenced experimental data (revised text below).</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Addressing this led us to revisit the intrinsic parameters, where we found a dimensional inconsistency: τ_v was reported as 0.005 while the τ_m are of order 10³–10⁴ in the same (ms) equation, and the leak coefficient α = 0.01 acted as a large input gain rather than a leak. We removed α by an exact, dynamics-preserving change of variables (ṽ = α v) that makes the leak unity and moves the gain into the firing-rate slope (s = 30); the membrane time constant is then directly τ_v, which we set to a physiologically realistic 2 ms. Because the system is decomposable into fast and slow subcomponents (τ_v &lt;&lt; τ_m), the responses are insensitive to τ_v over this range, and we verified numerically that the reparametrized model reproduces the original firing-rate dynamics to machine precision — no result or conclusion changes. As requested we added units (τ_m in ms in Table 3, τ_v in ms in the Methods); all other quantities (b, s, weights, drives) are dimensionless (revised text below).</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α was the leak coefficient of the activity variable; the reparametrization above normalizes it to unity, so it is no longer a free parameter (the −v term is now a unit membrane leak). b is a tonic bias that sets each population's baseline excitability — an effective firing threshold. Both are now stated in the Methods (revised text below).</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durations are computed per respiratory cycle over a single deterministic, noise-free simulation, so there is no trial averaging. The previous '±0.05 s' was an artifact of our automated phase-segmentation, not biological variability; because the model settles onto a clean limit cycle, the per-cycle durations are constant. We therefore now report deterministic values without uncertainty (T_i 0.44→1.30 s, T_e 2.37→3.71 s under pontine inhibition) and state the per-cycle measurement explicitly in the Methods (revised text below).</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('Network dynamics and biophysical properties of neurons'). It states that a connectivity-level model cannot, by construction, predict channel- or receptor-specific manipulations, outlines the data that would be needed to do so (transcriptomic, voltage-clamp, conductance-profiling, and dynamic-clamp), and frames the present model as a modest but necessary first step (revised text below).</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(transcriptomic profiling of ion-channel and receptor expression,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now engage this work in the Discussion. Rather than treating it as validation of the inherited three-phase core, we note that our connection weights are hand-set and that this conductance-inference method offers a route to estimate them from data and to test our predicted breathing–swallowing connections; it also highlights a limitation of concise circuit models like ours, which cannot capture how distinct neuronal classes are distributed across brainstem compartments. Both references have been added (revised text below).</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A further limitation of concise circuit models of this kind is that they cannot faithfully reflect how distinct neuronal classes are distributed across brainstem compartments: the same electrophysiological phenotype is often present in more than one compartment — for instance, postinspiratory and augmenting-expiratory neurons are recorded in both the preBötC and the Bötzinger complex (Molkov et al. 2025) — a distribution that a reduced model assigning a single population per phenotype cannot capture.”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