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most likely cause. The affected figures contained extensive PDF transparency and soft-mask objects (Figure 5 alone contained ~2700 transparency groups, Figure 4 ~385, and Figure 6 a soft-masked raster image), whereas the figures that displayed correctly contained almost none (&lt;40). Such transparency is a well-known source of viewer- and pipeline-dependent figure blanking, because it is forbidden under the PDF/X and PDF/A profiles used by many submission and proof-generation pipelines, which flatten or drop exactly those objects while leaving the remaining figures intact.</w:t>
      </w:r>
    </w:p>
    <w:p>
      <w:r>
        <w:rPr>
          <w:i/>
        </w:rPr>
        <w:t>We have regenerated all figures as vector graphics and eliminated the offending transparency at its source (using opaque fills instead of alpha blending), so that the three affected figures now contain no transparency objects whatsoever and no longer depend on transparency support; we verified this programmatically and confirmed that the figures render identically across renderers and operating systems. As part of the same revision, the figures were also regenerated with the corrected, dimensionally-consistent model parametrization described in our response to the comment on Table 3 below; as explained there, this reparametrization reproduces the original firing-rate dynamics to machine precision and changes no result or conclusion. We have additionally checked that the full manuscript, with all nine figures embedded, compiles and displays correctly.</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r>
        <w:rPr>
          <w:b/>
        </w:rPr>
        <w:t>Revised text (Methods, Model parameters):</w:t>
      </w:r>
    </w:p>
    <w:p>
      <w:pPr>
        <w:ind w:left="360"/>
      </w:pPr>
      <w:r>
        <w:t>“The parameters are chosen manually to match the timescale of respiratory phase durations (inspiration, postinspiration, late expiration) of experimental recordings.”</w:t>
      </w:r>
    </w:p>
    <w:p>
      <w:pPr>
        <w:ind w:left="360"/>
      </w:pPr>
      <w:r>
        <w:t>“The connectivity parameters w_ij between the nodes are manually adjusted to reproduce realistic swallowing and breathing interactions. The gradual development of the model allowed for adjusting connectivity parameters step by step, and the connectivity of a simpler model served as a reference point for the connectivity of a subsequent model.”</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r>
        <w:rPr>
          <w:b/>
        </w:rPr>
        <w:t>Revised text (Results, pontine-silencing section (former Sec. 2.3) — last paragraph rewritten):</w:t>
      </w:r>
    </w:p>
    <w:p>
      <w:pPr>
        <w:ind w:left="360"/>
      </w:pPr>
      <w:r>
        <w:t>“Apart from its effects on respiration, pontine inhibition is known to alter swallowing behavior. To reproduce these experimental observations, we introduced a pontine neuronal population that gates sensory input from the superior laryngeal nerve (SLN) to the swallowing network (‘Sw. gate’ in the pontine compartment; model-sequence figure, panel B). We assume that the ‘Sw. gate’ population is intermingled within the pontine respiratory group. In the model, the ‘Sw. gate’ suppresses activation of the swallowing motor population (Sw1). Consequently, inhibition of the pontine respiratory group also suppresses the ‘Sw. gate’, thereby disinhibiting Sw1 and producing spontaneous swallows near the end of the inspiratory phase.”</w:t>
      </w:r>
    </w:p>
    <w:p>
      <w:pPr>
        <w:ind w:left="360"/>
      </w:pPr>
      <w:r>
        <w:t>“Because the model is deterministic and contains no noise, these spontaneous swallows occur consistently after termination of the apneustic phrenic nerve activity. A qualitatively similar pattern — spontaneous swallowing following apneustic activity — has been observed during autoresuscitation in the in situ respiratory network, although the experimental timing is much less regular than in the model.”</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r>
        <w:rPr>
          <w:b/>
        </w:rPr>
        <w:t>Revised text (Results — section retitled (was “Model validation: deletion of the ponto-medullary synaptic interactions”) and opening reworded):</w:t>
      </w:r>
    </w:p>
    <w:p>
      <w:pPr>
        <w:ind w:left="360"/>
      </w:pPr>
      <w:r>
        <w:t>“Model validation: silencing of pontine neuronal populations.”</w:t>
      </w:r>
    </w:p>
    <w:p>
      <w:pPr>
        <w:ind w:left="360"/>
      </w:pPr>
      <w:r>
        <w:t>“To test whether the proposed ponto-medullary connectivity captures known physiological dependencies, we simulated inhibition of the pontine compartment.”</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function. The leak then becomes unity, so we drop α altogether and write the activity equation as τ_v dṽ/dt = −ṽ − m + (drive − b) + input, with firing-rate function f(ṽ) = 1 / (1 + e^(−s ṽ)) of slope s = 30 (replacing the slope λ);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(b, s, synaptic weights, drives) are dimensionless.</w:t>
      </w:r>
    </w:p>
    <w:p>
      <w:r>
        <w:rPr>
          <w:b/>
        </w:rPr>
        <w:t>Revised text (Table 3 (Intrinsic parameters)):</w:t>
      </w:r>
    </w:p>
    <w:p>
      <w:pPr>
        <w:ind w:left="360"/>
      </w:pPr>
      <w:r>
        <w:t>“Population | τ_m (ms)”</w:t>
      </w:r>
    </w:p>
    <w:p>
      <w:pPr>
        <w:ind w:left="360"/>
      </w:pPr>
      <w:r>
        <w:t>“Intrinsic parameters. For all populations: b = 0.2, τ_v = 2 ms, s = 30.”</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In the original specification α was the decay (leak) coefficient of the activity variable; the reparametrization above normalizes it to unity, so it no longer appears as a free parameter — the −ṽ term is a unit membrane leak (ṽ relaxes with time constant τ_v). The parameter b is a tonic bias offset on the input that sets the population's baseline excitability — an effective firing threshold. We have clarified both in the Methods.</w:t>
      </w:r>
    </w:p>
    <w:p>
      <w:r>
        <w:rPr>
          <w:b/>
        </w:rPr>
        <w:t>Revised text (Methods, Model parameters):</w:t>
      </w:r>
    </w:p>
    <w:p>
      <w:pPr>
        <w:ind w:left="360"/>
      </w:pPr>
      <w:r>
        <w:t>“Here b is a tonic bias on the population input that sets its baseline excitability, i.e. an effective firing threshold, while the −v term is a unit membrane leak, so that v relaxes with the membrane time constant τ_v.”</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p>
      <w:r>
        <w:rPr>
          <w:b/>
        </w:rPr>
        <w:t>Revised text (Results, pontine silencing):</w:t>
      </w:r>
    </w:p>
    <w:p>
      <w:pPr>
        <w:ind w:left="360"/>
      </w:pPr>
      <w:r>
        <w:t>“…an increase in inspiratory phase duration (T_i from 0.44 to 1.30 s) and expiratory phase duration (T_e from 2.37 to 3.71 s)… These phase durations are measured per respiratory cycle directly from the inspiratory population activity; because the model is deterministic and settles onto a limit cycle, they are constant across cycles and are therefore reported as single values rather than means.”</w:t>
      </w:r>
    </w:p>
    <w:p>
      <w:pPr>
        <w:pStyle w:val="Heading1"/>
      </w:pPr>
      <w:r>
        <w:t>Response to Reviewer 2</w:t>
      </w:r>
    </w:p>
    <w:p>
      <w:pPr>
        <w:pStyle w:val="Heading2"/>
      </w:pPr>
      <w:r>
        <w:t>Major concern</w:t>
      </w:r>
    </w:p>
    <w:p>
      <w:r>
        <w:rPr>
          <w:b/>
        </w:rPr>
        <w:t xml:space="preserve">Reviewer comment. </w:t>
      </w:r>
      <w:r>
        <w:t>Figures 4-6 did not render in the submitted PDF. For Figures 4, 5, and 6 only the captions are present. A corrected PDF with these figures is needed.</w:t>
      </w:r>
    </w:p>
    <w:p>
      <w:r>
        <w:rPr>
          <w:b/>
          <w:i/>
        </w:rPr>
        <w:t xml:space="preserve">Response. </w:t>
      </w:r>
      <w:r>
        <w:rPr>
          <w:i/>
        </w:rPr>
        <w:t>We apologize for this and have identified the most likely cause. The three affected figures contained extensive PDF transparency and soft-mask objects, whereas the figures that rendered correctly contained almost none; such transparency is a well-known source of viewer- and pipeline-dependent figure blanking, as it is flattened or dropped under the PDF/X and PDF/A profiles used by many submission and proof pipelines. Consistent with this, the handling editor was able to view all figures, while both reviewers were not, pointing to a viewer-/pipeline-dependent issue rather than a corrupt file.</w:t>
      </w:r>
    </w:p>
    <w:p>
      <w:r>
        <w:rPr>
          <w:i/>
        </w:rPr>
        <w:t>We have regenerated all figures as vector graphics and eliminated the offending transparency at its source (opaque fills rather than alpha blending), so the three figures now contain no transparency objects whatsoever; we verified this programmatically and confirmed that all nine figures render identically across multiple PDF renderers and operating systems, and that the full manuscript with all figures embedded compiles and displays correctly. (As detailed in our response to Reviewer 1, the figures were also regenerated with the corrected, dimensionally-consistent model parametrization, which reproduces the original dynamics and changes no result or conclusion.)</w:t>
      </w:r>
    </w:p>
    <w:p>
      <w:pPr>
        <w:pStyle w:val="Heading2"/>
      </w:pPr>
      <w:r>
        <w:t>Minor concern 1</w:t>
      </w:r>
    </w:p>
    <w:p>
      <w:r>
        <w:rPr>
          <w:b/>
        </w:rPr>
        <w:t xml:space="preserve">Reviewer comment. </w:t>
      </w:r>
      <w:r>
        <w:t>The model attributes its population-level dynamics to network connectivity, which is a reasonable choice here. It would be informative, though, if the authors elaborated on where a deeper characterization of the underlying cellular biophysics and mechanisms would be useful. Beyond completing the mechanistic picture, identifying these mechanisms would open the door to pharmacological or genetic approaches for testing the model's predicted connectivity and architecture, and potentially for alleviating pathological activity.</w:t>
      </w:r>
    </w:p>
    <w:p>
      <w:r>
        <w:rPr>
          <w:b/>
          <w:i/>
        </w:rPr>
        <w:t xml:space="preserve">Response. </w:t>
      </w:r>
      <w:r>
        <w:rPr>
          <w:i/>
        </w:rPr>
        <w:t>We agree and have added a paragraph to the Discussion (section "Network dynamics and biophysical properties of neurons") making this explicit. We now state that, by construction, a connectivity-level model cannot predict the effects of manipulations that act on specific ion channels or receptors — indeed, the same degeneracy that justifies omitting intrinsic conductances (similar firing patterns from diverse channel compositions) implies that the response to an agonist or antagonist cannot be inferred from connectivity alone. We outline the data that would be required to advance toward models capable of predicting such manipulations: channel- and receptor-resolved recordings in identified populations (voltage-clamp dissection of the relevant intrinsic currents, per-population synaptic-conductance profiling, and dynamic-clamp validation of the predicted conductance combinations). We note that such models would allow prediction of how targeting specific receptors in specific populations alters the integrated breathing–swallowing behavior, and thus could guide pharmacological interventions, and we frame the present network-level model as a deliberately modest but necessary first step toward that goal.</w:t>
      </w:r>
    </w:p>
    <w:p>
      <w:r>
        <w:rPr>
          <w:b/>
        </w:rPr>
        <w:t>Revised text (Discussion, Network dynamics and biophysical properties of neurons):</w:t>
      </w:r>
    </w:p>
    <w:p>
      <w:pPr>
        <w:ind w:left="360"/>
      </w:pPr>
      <w:r>
        <w:t>“A corollary of this network focus is that the model cannot, by construction, predict the effects of pharmacological or genetic manipulations targeting specific channels or receptors. Doing so would require channel- and receptor-resolved data in identified populations (voltage-clamp dissection of the relevant intrinsic currents, per-population conductance profiling, and dynamic-clamp validation), which would let detailed models predict how targeting specific receptors in specific populations alters the integrated behavior and thereby guide interventions for breathing–swallowing disorders. The network-level model presented here is a deliberately modest but necessary first step toward that goal.”</w:t>
      </w:r>
    </w:p>
    <w:p>
      <w:pPr>
        <w:pStyle w:val="Heading2"/>
      </w:pPr>
      <w:r>
        <w:t>Minor concern 2</w:t>
      </w:r>
    </w:p>
    <w:p>
      <w:r>
        <w:rPr>
          <w:b/>
        </w:rPr>
        <w:t xml:space="preserve">Reviewer comment. </w:t>
      </w:r>
      <w:r>
        <w:t>It would be worth engaging with recent work that infers the functional excitatory and inhibitory connectivity of the preBötzinger complex directly from intracellular recordings of identified respiratory neurons (Molkov et al. 2026, bioRxiv), using a synaptic-conductance inference method (Molkov et al. 2025, eLife). This bears directly on the connectivity this model posits, both as support for some of the assumed connections and as a constraint on others.</w:t>
      </w:r>
    </w:p>
    <w:p>
      <w:r>
        <w:rPr>
          <w:b/>
          <w:i/>
        </w:rPr>
        <w:t xml:space="preserve">Response. </w:t>
      </w:r>
      <w:r>
        <w:rPr>
          <w:i/>
        </w:rPr>
        <w:t>We thank the reviewer for pointing us to this work, which we now engage with in the Discussion. Rather than citing it as validation of the respiratory three-phase core (which our model adopts from prior work), we focus on its direct bearing on the connectivity our model itself posits. We note that our connection weights are currently set by hand, constrained only by the requirement that the network reproduce the observed motor patterns, and that the conductance-inference method of Molkov et al. (2025, eLife; 2026, bioRxiv) — which decomposes single-neuron recordings into respiratory cycle-phase-dependent excitatory and inhibitory conductances — offers a route to estimate these weights directly from data and, applied during fictive swallowing, to test the specific breathing–swallowing connections we predict (e.g. the SLN-driven inhibition of inspiratory premotor neurons and the pontine gating of the swallowing circuit). We also acknowledge that these data already qualify one of our simplifications: the postinspiratory inhibition that we collapse into a single pontine glottal-closure population is, in those recordings, distributed across the preBötzinger and Bötzinger complexes. Both references have been added to the bibliography.</w:t>
      </w:r>
    </w:p>
    <w:p>
      <w:r>
        <w:rPr>
          <w:b/>
        </w:rPr>
        <w:t>Revised text (Discussion, Network dynamics and biophysical properties of neurons):</w:t>
      </w:r>
    </w:p>
    <w:p>
      <w:pPr>
        <w:ind w:left="360"/>
      </w:pPr>
      <w:r>
        <w:t>“The connection weights our model posits are set by hand, constrained only by the requirement that the network reproduce the observed motor patterns and a handful of experimental observations. Recent conductance-inference techniques, which decompose single-neuron recordings in rhythmically active circuits into respiratory cycle-phase-dependent excitatory and inhibitory conductances (Molkov et al. 2025; Molkov et al. 2026), offer a route to estimate these weights directly from data and, applied during fictive swallowing, to test the specific breathing–swallowing connections we predict (e.g. the SLN-driven inhibition of inspiratory premotor neurons or the pontine gating of the swallowing circuit). Such data also qualify one of our simplifications: the postinspiratory inhibition that we collapse into a single pontine glottal-closure population is in fact distributed across the preBötC and Bötzinger complex (Molkov et al.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