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r>
        <w:rPr>
          <w:b/>
        </w:rPr>
        <w:t xml:space="preserve">Manuscript: </w:t>
      </w:r>
      <w:r>
        <w:t>"Modeling synaptic interactions between mammalian breathing and swallowing central pattern generators"</w:t>
      </w:r>
    </w:p>
    <w:p>
      <w:r>
        <w:t>Journal: Biological Cybernetics   |   Submission ID: 29310e2a-b84f-49c5-9a3a-c6112183166e</w:t>
      </w:r>
    </w:p>
    <w:p>
      <w:r>
        <w:rPr>
          <w:b/>
        </w:rPr>
        <w:t xml:space="preserve">Note. </w:t>
      </w:r>
      <w:r>
        <w:t>The reviewers' comments are reproduced in regular type; our responses follow in italics.</w:t>
      </w:r>
    </w:p>
    <w:p>
      <w:pPr>
        <w:pStyle w:val="Heading1"/>
      </w:pPr>
      <w:r>
        <w:t>Contents</w:t>
      </w:r>
    </w:p>
    <w:p>
      <w:r>
        <w:fldChar w:fldCharType="begin"/>
        <w:instrText xml:space="preserve">TOC \o "1-1" \h \z \u</w:instrText>
        <w:fldChar w:fldCharType="separate"/>
        <w:fldChar w:fldCharType="end"/>
      </w:r>
    </w:p>
    <w:p>
      <w:r>
        <w:br w:type="page"/>
      </w:r>
    </w:p>
    <w:p>
      <w:pPr>
        <w:pStyle w:val="Heading1"/>
      </w:pPr>
      <w:r>
        <w:t>Response to Reviewer 1</w:t>
      </w:r>
    </w:p>
    <w:p>
      <w:r>
        <w:rPr>
          <w:b/>
        </w:rPr>
        <w:t xml:space="preserve">Reviewer comment. </w:t>
      </w:r>
      <w:r>
        <w:t>Figures 4, 5, and 6 are missing from the review document. So I can't fully appraise the manuscript, especially as these figures include the direct comparison with data and most of the dynamical systems analysis.</w:t>
      </w:r>
    </w:p>
    <w:p>
      <w:r>
        <w:rPr>
          <w:b/>
          <w:i/>
        </w:rPr>
        <w:t xml:space="preserve">Response. </w:t>
      </w:r>
      <w:r>
        <w:rPr>
          <w:i/>
        </w:rPr>
        <w:t>We apologize for this, and we have identified the most likely cause. The affected figures contained extensive PDF transparency and soft-mask objects (Figure 5 alone contained ~2700 transparency groups, Figure 4 ~385, and Figure 6 a soft-masked raster image), whereas the figures that displayed correctly contained almost none (&lt;40). Such transparency is a well-known source of viewer- and pipeline-dependent figure blanking, because it is forbidden under the PDF/X and PDF/A profiles used by many submission and proof-generation pipelines, which flatten or drop exactly those objects while leaving the remaining figures intact.</w:t>
      </w:r>
    </w:p>
    <w:p>
      <w:r>
        <w:rPr>
          <w:i/>
        </w:rPr>
        <w:t>We have regenerated all figures as vector graphics and eliminated the offending transparency at its source (using opaque fills instead of alpha blending), so that the three affected figures now contain no transparency objects whatsoever and no longer depend on transparency support; we verified this programmatically and confirmed that the figures render identically across renderers and operating systems. As part of the same revision, the figures were also regenerated with the corrected, dimensionally-consistent model parametrization described in our response to the comment on Table 3 below; as explained there, this reparametrization reproduces the original firing-rate dynamics to machine precision and changes no result or conclusion. We have additionally checked that the full manuscript, with all nine figures embedded, compiles and displays correctly.</w:t>
      </w:r>
    </w:p>
    <w:p>
      <w:pPr>
        <w:pStyle w:val="Heading2"/>
      </w:pPr>
      <w:r>
        <w:t>Comment 1</w:t>
      </w:r>
    </w:p>
    <w:p>
      <w:r>
        <w:rPr>
          <w:b/>
        </w:rPr>
        <w:t xml:space="preserve">Reviewer comment. </w:t>
      </w:r>
      <w:r>
        <w:t>I'm uncertain the paper benefits from the methods-last format. It seems the model was developed sequentially as part of a family of models (Figures 1-3) but this is skipped through very quickly in the main paper narrative. Given the final model is rather complicated, for this reader it would have been easier going to see the logic in assembling the building blocks, and how the dynamics evolve in isolation and alter on adding each elaboration.</w:t>
      </w:r>
    </w:p>
    <w:p>
      <w:r>
        <w:rPr>
          <w:b/>
          <w:i/>
        </w:rPr>
        <w:t xml:space="preserve">Response. </w:t>
      </w:r>
      <w:r>
        <w:rPr>
          <w:i/>
        </w:rPr>
        <w:t>We have reordered the manuscript so that the Methods section now directly follows the Introduction.</w:t>
      </w:r>
    </w:p>
    <w:p>
      <w:pPr>
        <w:pStyle w:val="Heading2"/>
      </w:pPr>
      <w:r>
        <w:t>Comment 2</w:t>
      </w:r>
    </w:p>
    <w:p>
      <w:r>
        <w:rPr>
          <w:b/>
        </w:rPr>
        <w:t xml:space="preserve">Reviewer comment. </w:t>
      </w:r>
      <w:r>
        <w:t>It is stated that the “parameters are chosen to match the timescale of respiratory phase durations (inspiration, postinspiration, late expiration) of experimental recordings”, does that mean they were tuned by hand? Nothing inherently wrong with that, but it would be helpful to know how they were chosen, not just why.</w:t>
      </w:r>
    </w:p>
    <w:p>
      <w:r>
        <w:rPr>
          <w:b/>
          <w:i/>
        </w:rPr>
        <w:t xml:space="preserve">Response. </w:t>
      </w:r>
      <w:r>
        <w:rPr>
          <w:i/>
        </w:rPr>
        <w:t>Yes — the parameters were tuned by hand, and we have clarified both the procedure and the rationale. The intrinsic time constants and tonic drives were adjusted to reproduce the experimentally observed respiratory phase durations and the number of swallows evoked by a 10 s SLN stimulus, while the synaptic weights were built up stage by stage across Models 1–4, each simpler model's connectivity serving as the starting point for the next.</w:t>
      </w:r>
    </w:p>
    <w:p>
      <w:r>
        <w:rPr>
          <w:b/>
        </w:rPr>
        <w:t>Revised text (Methods, Model parameters):</w:t>
      </w:r>
    </w:p>
    <w:p>
      <w:pPr>
        <w:ind w:left="360"/>
      </w:pPr>
      <w:r>
        <w:t>“The parameters are chosen manually to match the timescale of respiratory phase durations (inspiration, postinspiration, late expiration) and the number of swallows evoked by the long SLN stimulation during the experimental recordings.”</w:t>
      </w:r>
    </w:p>
    <w:p>
      <w:pPr>
        <w:ind w:left="360"/>
      </w:pPr>
      <w:r>
        <w:t>“The connectivity parameters w_ij between the nodes are manually adjusted to reproduce realistic swallowing and breathing interactions. The gradual development of the model allowed for adjusting connectivity parameters step by step, and the connectivity of a simpler model served as a reference point for the connectivity of a subsequent model.”</w:t>
      </w:r>
    </w:p>
    <w:p>
      <w:pPr>
        <w:pStyle w:val="Heading2"/>
      </w:pPr>
      <w:r>
        <w:t>Comment 3</w:t>
      </w:r>
    </w:p>
    <w:p>
      <w:r>
        <w:rPr>
          <w:b/>
        </w:rPr>
        <w:t xml:space="preserve">Reviewer comment. </w:t>
      </w:r>
      <w:r>
        <w:t>The last paragraph of Sec. 2.3 seems a little out of place, is it describing results in one of the figures?</w:t>
      </w:r>
    </w:p>
    <w:p>
      <w:r>
        <w:rPr>
          <w:b/>
          <w:i/>
        </w:rPr>
        <w:t xml:space="preserve">Response. </w:t>
      </w:r>
      <w:r>
        <w:rPr>
          <w:i/>
        </w:rPr>
        <w:t>We agree that the paragraph did not reference the figures well enough. We have revised it to make the figure reference explicit and to clarify that it describes the Sw-gate mechanism and the resulting spontaneous-swallow behavior (now referencing the model-sequence figure, panel B, and the apneusis result).</w:t>
      </w:r>
    </w:p>
    <w:p>
      <w:r>
        <w:rPr>
          <w:b/>
        </w:rPr>
        <w:t>Revised text (Results, pontine-silencing section (former Sec. 2.3) — last paragraph rewritten):</w:t>
      </w:r>
    </w:p>
    <w:p>
      <w:pPr>
        <w:ind w:left="360"/>
      </w:pPr>
      <w:r>
        <w:t>“Apart from its effects on respiration, pontine inhibition is known to alter swallowing behavior. To reproduce these experimental observations, we introduced a pontine neuronal population that gates sensory input from the superior laryngeal nerve (SLN) to the swallowing network (‘Sw. gate’ in the pontine compartment; model-sequence figure, panel B). We assume that the ‘Sw. gate’ population is intermingled within the pontine respiratory group. In the model, the ‘Sw. gate’ suppresses activation of the swallowing motor population (Sw1). Consequently, inhibition of the pontine respiratory group also suppresses the ‘Sw. gate’, thereby disinhibiting Sw1 and producing spontaneous swallows near the end of the inspiratory phase.”</w:t>
      </w:r>
    </w:p>
    <w:p>
      <w:pPr>
        <w:ind w:left="360"/>
      </w:pPr>
      <w:r>
        <w:t>“Because the model is deterministic and contains no noise, these spontaneous swallows occur consistently after termination of the apneustic phrenic nerve activity. A qualitatively similar pattern — spontaneous swallowing following apneustic activity — has been observed during autoresuscitation in the in situ respiratory network, although the experimental timing is much less regular than in the model.”</w:t>
      </w:r>
    </w:p>
    <w:p>
      <w:pPr>
        <w:pStyle w:val="Heading2"/>
      </w:pPr>
      <w:r>
        <w:t>Comment 4</w:t>
      </w:r>
    </w:p>
    <w:p>
      <w:r>
        <w:rPr>
          <w:b/>
        </w:rPr>
        <w:t xml:space="preserve">Reviewer comment. </w:t>
      </w:r>
      <w:r>
        <w:t>“The results of simulated inhibition of the pons are depicted in (Fig. 7B)” — is this ablation rather than inhibition?</w:t>
      </w:r>
    </w:p>
    <w:p>
      <w:r>
        <w:rPr>
          <w:b/>
          <w:i/>
        </w:rPr>
        <w:t xml:space="preserve">Response. </w:t>
      </w:r>
      <w:r>
        <w:rPr>
          <w:i/>
        </w:rPr>
        <w:t>The reviewer is right to ask for the distinction. In our computational model, complete silencing of the pons by inhibition and by ablation are indistinguishable (both set the pontine populations and their descending drive to zero). Throughout the text we therefore use “inhibition of the pons,” to remain consistent with the referenced experimental data.</w:t>
      </w:r>
    </w:p>
    <w:p>
      <w:r>
        <w:rPr>
          <w:b/>
        </w:rPr>
        <w:t>Revised text (Results — section retitled (was “Model validation: deletion of the ponto-medullary synaptic interactions”) and opening reworded):</w:t>
      </w:r>
    </w:p>
    <w:p>
      <w:pPr>
        <w:ind w:left="360"/>
      </w:pPr>
      <w:r>
        <w:t>“Model validation: silencing of pontine neuronal populations.”</w:t>
      </w:r>
    </w:p>
    <w:p>
      <w:pPr>
        <w:ind w:left="360"/>
      </w:pPr>
      <w:r>
        <w:t>“To test whether the proposed ponto-medullary connectivity captures known physiological dependencies, we simulated inhibition of the pontine compartment.”</w:t>
      </w:r>
    </w:p>
    <w:p>
      <w:pPr>
        <w:pStyle w:val="Heading2"/>
      </w:pPr>
      <w:r>
        <w:t>Comment 5</w:t>
      </w:r>
    </w:p>
    <w:p>
      <w:r>
        <w:rPr>
          <w:b/>
        </w:rPr>
        <w:t xml:space="preserve">Reviewer comment. </w:t>
      </w:r>
      <w:r>
        <w:t>Table 3, should give units on tau_m (and any other instances of the taus; I gather all the other parameters and quantities are unitless).</w:t>
      </w:r>
    </w:p>
    <w:p>
      <w:r>
        <w:rPr>
          <w:b/>
          <w:i/>
        </w:rPr>
        <w:t xml:space="preserve">Response. </w:t>
      </w:r>
      <w:r>
        <w:rPr>
          <w:i/>
        </w:rPr>
        <w:t>We thank the reviewer for this comment. Addressing it led us to revisit the intrinsic parameters, where we identified a dimensional inconsistency in the original specification: the membrane time constant was reported as τ_v = 0.005 while the adaptation constants τ_m are on the order of 10³–10⁴ in the same (millisecond) equation — a spread of ~10⁶ — and the leak coefficient α = 0.01 was effectively a large input gain (≈ 1/α = 100) rather than a leak. We reparametrized the model via an exact, dynamics-preserving change of variables, ṽ = α v (with ṽ the rescaled activity variable), which relocates this gain from α into the firing-rate function. The leak then becomes unity, so we drop α altogether and write the activity equation as τ_v dṽ/dt = −ṽ − m + (drive − b) + input, with firing-rate function f(ṽ) = 1 / (1 + e^(−s ṽ)) of slope s = 30 (replacing the slope λ); the membrane time constant is now directly τ_v. We further set τ_v = 2 ms, a physiologically realistic membrane time constant; because the system is singularly perturbed (τ_v ≪ τ_m), the network responses are insensitive to τ_v throughout this range (we verified that simulated traces are unchanged apart from sub-millisecond timing). We confirmed numerically that the reparametrized model reproduces the firing-rate dynamics of the original to machine precision — the reparametrization itself changes no simulation result or figure conclusion. The parameters now span a far less drastic range, are dimensionally consistent (τ_v = 2 ms, τ_m = 1.5–17.5 s), and are physiologically interpretable. As requested, we added units to the time constants — τ_m (ms) in Table 3 and τ_v (ms) in the Methods — and confirm that all remaining quantities (b, s, synaptic weights, drives) are dimensionless.</w:t>
      </w:r>
    </w:p>
    <w:p>
      <w:r>
        <w:rPr>
          <w:b/>
        </w:rPr>
        <w:t>Revised text (Table 3 (Intrinsic parameters)):</w:t>
      </w:r>
    </w:p>
    <w:p>
      <w:pPr>
        <w:ind w:left="360"/>
      </w:pPr>
      <w:r>
        <w:t>“Population | τ_m (ms)”</w:t>
      </w:r>
    </w:p>
    <w:p>
      <w:pPr>
        <w:ind w:left="360"/>
      </w:pPr>
      <w:r>
        <w:t>“Intrinsic parameters. For all populations: b = 0.2, τ_v = 2 ms, s = 30.”</w:t>
      </w:r>
    </w:p>
    <w:p>
      <w:pPr>
        <w:pStyle w:val="Heading2"/>
      </w:pPr>
      <w:r>
        <w:t>Comment 6</w:t>
      </w:r>
    </w:p>
    <w:p>
      <w:r>
        <w:rPr>
          <w:b/>
        </w:rPr>
        <w:t xml:space="preserve">Reviewer comment. </w:t>
      </w:r>
      <w:r>
        <w:t>For completeness it would be helpful give the physiological meaning for parameters alpha and b.</w:t>
      </w:r>
    </w:p>
    <w:p>
      <w:r>
        <w:rPr>
          <w:b/>
          <w:i/>
        </w:rPr>
        <w:t xml:space="preserve">Response. </w:t>
      </w:r>
      <w:r>
        <w:rPr>
          <w:i/>
        </w:rPr>
        <w:t>In the original specification α was the decay (leak) coefficient of the activity variable; the reparametrization above normalizes it to unity, so it no longer appears as a free parameter — the −ṽ term is a unit membrane leak (ṽ relaxes with time constant τ_v). The parameter b is a tonic bias offset on the input that sets the population's baseline excitability — an effective firing threshold. We have clarified both in the Methods.</w:t>
      </w:r>
    </w:p>
    <w:p>
      <w:r>
        <w:rPr>
          <w:b/>
        </w:rPr>
        <w:t>Revised text (Methods, Model parameters):</w:t>
      </w:r>
    </w:p>
    <w:p>
      <w:pPr>
        <w:ind w:left="360"/>
      </w:pPr>
      <w:r>
        <w:t>“Here b is a tonic bias on the population input that sets its baseline excitability, i.e. an effective firing threshold, while the −v term is a unit membrane leak, so that v relaxes with the membrane time constant τ_v.”</w:t>
      </w:r>
    </w:p>
    <w:p>
      <w:pPr>
        <w:pStyle w:val="Heading2"/>
      </w:pPr>
      <w:r>
        <w:t>Comment 7</w:t>
      </w:r>
    </w:p>
    <w:p>
      <w:r>
        <w:rPr>
          <w:b/>
        </w:rPr>
        <w:t xml:space="preserve">Reviewer comment. </w:t>
      </w:r>
      <w:r>
        <w:t>Where quantities are reported with an uncertainty (e.g. “T_i from 0.41±0.05 to 1.29±0.05 s”), should state what the mean (or median?) was calculated over, and what the uncertainty is (SD? SEM?).</w:t>
      </w:r>
    </w:p>
    <w:p>
      <w:r>
        <w:rPr>
          <w:b/>
          <w:i/>
        </w:rPr>
        <w:t xml:space="preserve">Response. </w:t>
      </w:r>
      <w:r>
        <w:rPr>
          <w:i/>
        </w:rPr>
        <w:t>The reported phase durations are computed per respiratory cycle, over the cycles of a single simulation — there is no trial averaging, because the model is deterministic and contains no noise. We found that the previously reported “±0.05 s” did not represent biological variability but was an artifact of our automated phase-segmentation. We have recomputed the durations directly from the inspiratory population activity on a per-cycle basis; because the model settles onto a clean limit cycle, the phase durations are constant across cycles. We therefore now report them as deterministic values without an uncertainty (inspiratory duration increased from 0.44 s to 1.30 s and expiratory duration from 2.37 s to 3.71 s under pontine inhibition — essentially the originally reported values, now without the spurious ±), and we state explicitly in the Methods that durations are measured per cycle and are reproducible across cycles.</w:t>
      </w:r>
    </w:p>
    <w:p>
      <w:r>
        <w:rPr>
          <w:b/>
        </w:rPr>
        <w:t>Revised text (Results, pontine silencing):</w:t>
      </w:r>
    </w:p>
    <w:p>
      <w:pPr>
        <w:ind w:left="360"/>
      </w:pPr>
      <w:r>
        <w:t>“…an increase in inspiratory phase duration (T_i from 0.44 to 1.30 s) and expiratory phase duration (T_e from 2.37 to 3.71 s)… These phase durations are measured per respiratory cycle directly from the inspiratory population activity; because the model is deterministic and settles onto a limit cycle, they are constant across cycles and are therefore reported as single values rather than means.”</w:t>
      </w:r>
    </w:p>
    <w:p>
      <w:pPr>
        <w:pStyle w:val="Heading1"/>
      </w:pPr>
      <w:r>
        <w:t>Response to Reviewer 2</w:t>
      </w:r>
    </w:p>
    <w:p>
      <w:pPr>
        <w:pStyle w:val="Heading2"/>
      </w:pPr>
      <w:r>
        <w:t>Major concern</w:t>
      </w:r>
    </w:p>
    <w:p>
      <w:r>
        <w:rPr>
          <w:b/>
        </w:rPr>
        <w:t xml:space="preserve">Reviewer comment. </w:t>
      </w:r>
      <w:r>
        <w:t>Figures 4-6 did not render in the submitted PDF. For Figures 4, 5, and 6 only the captions are present. A corrected PDF with these figures is needed.</w:t>
      </w:r>
    </w:p>
    <w:p>
      <w:r>
        <w:rPr>
          <w:b/>
          <w:i/>
        </w:rPr>
        <w:t xml:space="preserve">Response. </w:t>
      </w:r>
      <w:r>
        <w:rPr>
          <w:i/>
        </w:rPr>
        <w:t>We apologize for this and have identified the most likely cause. The three affected figures contained extensive PDF transparency and soft-mask objects, whereas the figures that rendered correctly contained almost none; such transparency is a well-known source of viewer- and pipeline-dependent figure blanking, as it is flattened or dropped under the PDF/X and PDF/A profiles used by many submission and proof pipelines. Consistent with this, the handling editor was able to view all figures, while both reviewers were not, pointing to a viewer-/pipeline-dependent issue rather than a corrupt file.</w:t>
      </w:r>
    </w:p>
    <w:p>
      <w:r>
        <w:rPr>
          <w:i/>
        </w:rPr>
        <w:t>We have regenerated all figures as vector graphics and eliminated the offending transparency at its source (opaque fills rather than alpha blending), so the three figures now contain no transparency objects whatsoever; we verified this programmatically and confirmed that all nine figures render identically across multiple PDF renderers and operating systems, and that the full manuscript with all figures embedded compiles and displays correctly. (As detailed in our response to Reviewer 1, the figures were also regenerated with the corrected, dimensionally-consistent model parametrization, which reproduces the original dynamics and changes no result or conclusion.)</w:t>
      </w:r>
    </w:p>
    <w:p>
      <w:pPr>
        <w:pStyle w:val="Heading2"/>
      </w:pPr>
      <w:r>
        <w:t>Minor concern 1</w:t>
      </w:r>
    </w:p>
    <w:p>
      <w:r>
        <w:rPr>
          <w:b/>
        </w:rPr>
        <w:t xml:space="preserve">Reviewer comment. </w:t>
      </w:r>
      <w:r>
        <w:t>The model attributes its population-level dynamics to network connectivity, which is a reasonable choice here. It would be informative, though, if the authors elaborated on where a deeper characterization of the underlying cellular biophysics and mechanisms would be useful. Beyond completing the mechanistic picture, identifying these mechanisms would open the door to pharmacological or genetic approaches for testing the model's predicted connectivity and architecture, and potentially for alleviating pathological activity.</w:t>
      </w:r>
    </w:p>
    <w:p>
      <w:r>
        <w:rPr>
          <w:b/>
          <w:i/>
        </w:rPr>
        <w:t xml:space="preserve">Response. </w:t>
      </w:r>
      <w:r>
        <w:rPr>
          <w:i/>
        </w:rPr>
        <w:t>We agree and have added a paragraph to the Discussion (section "Network dynamics and biophysical properties of neurons") making this explicit. We now state that, by construction, a connectivity-level model cannot predict the effects of manipulations that act on specific ion channels or receptors — indeed, the same degeneracy that justifies omitting intrinsic conductances (similar firing patterns from diverse channel compositions) implies that the response to an agonist or antagonist cannot be inferred from connectivity alone. We outline the data that would be required to advance toward models capable of predicting such manipulations: channel- and receptor-resolved recordings in identified populations (voltage-clamp dissection of the relevant intrinsic currents, per-population synaptic-conductance profiling, and dynamic-clamp validation of the predicted conductance combinations). We note that such models would allow prediction of how targeting specific receptors in specific populations alters the integrated breathing–swallowing behavior, and thus could guide pharmacological interventions, and we frame the present network-level model as a deliberately modest but necessary first step toward that goal.</w:t>
      </w:r>
    </w:p>
    <w:p>
      <w:r>
        <w:rPr>
          <w:b/>
        </w:rPr>
        <w:t>Revised text (Discussion, Network dynamics and biophysical properties of neurons):</w:t>
      </w:r>
    </w:p>
    <w:p>
      <w:pPr>
        <w:ind w:left="360"/>
      </w:pPr>
      <w:r>
        <w:t>“A corollary of this network focus is that the model cannot, by construction, predict the effects of pharmacological or genetic manipulations targeting specific channels or receptors. Doing so would require channel- and receptor-resolved data in identified populations (voltage-clamp dissection of the relevant intrinsic currents, per-population conductance profiling, and dynamic-clamp validation), which would let detailed models predict how targeting specific receptors in specific populations alters the integrated behavior and thereby guide interventions for breathing–swallowing disorders. The network-level model presented here is a deliberately modest but necessary first step toward that goal.”</w:t>
      </w:r>
    </w:p>
    <w:p>
      <w:pPr>
        <w:pStyle w:val="Heading2"/>
      </w:pPr>
      <w:r>
        <w:t>Minor concern 2</w:t>
      </w:r>
    </w:p>
    <w:p>
      <w:r>
        <w:rPr>
          <w:b/>
        </w:rPr>
        <w:t xml:space="preserve">Reviewer comment. </w:t>
      </w:r>
      <w:r>
        <w:t>It would be worth engaging with recent work that infers the functional excitatory and inhibitory connectivity of the preBötzinger complex directly from intracellular recordings of identified respiratory neurons (Molkov et al. 2026, bioRxiv), using a synaptic-conductance inference method (Molkov et al. 2025, eLife). This bears directly on the connectivity this model posits, both as support for some of the assumed connections and as a constraint on others.</w:t>
      </w:r>
    </w:p>
    <w:p>
      <w:r>
        <w:rPr>
          <w:b/>
          <w:i/>
        </w:rPr>
        <w:t xml:space="preserve">Response. </w:t>
      </w:r>
      <w:r>
        <w:rPr>
          <w:i/>
        </w:rPr>
        <w:t>We thank the reviewer for pointing us to this work, which we now engage with in the Discussion. Rather than citing it as validation of the respiratory three-phase core (which our model adopts from prior work), we focus on its direct bearing on the connectivity our model itself posits. We note that our connection weights are currently set by hand, constrained only by the requirement that the network reproduce the observed motor patterns, and that the conductance-inference method of Molkov et al. (2025, eLife; 2026, bioRxiv) — which decomposes single-neuron recordings into respiratory cycle-phase-dependent excitatory and inhibitory conductances — offers a route to estimate these weights directly from data and, applied during fictive swallowing, to test the specific breathing–swallowing connections we predict (e.g. the SLN-driven inhibition of inspiratory premotor neurons and the pontine gating of the swallowing circuit). We also acknowledge that these data already qualify one of our simplifications: the postinspiratory inhibition that we collapse into a single pontine glottal-closure population is, in those recordings, distributed across the preBötzinger and Bötzinger complexes. Both references have been added to the bibliography.</w:t>
      </w:r>
    </w:p>
    <w:p>
      <w:r>
        <w:rPr>
          <w:b/>
        </w:rPr>
        <w:t>Revised text (Discussion, Network dynamics and biophysical properties of neurons):</w:t>
      </w:r>
    </w:p>
    <w:p>
      <w:pPr>
        <w:ind w:left="360"/>
      </w:pPr>
      <w:r>
        <w:t>“The connection weights our model posits are set by hand, constrained only by the requirement that the network reproduce the observed motor patterns and a handful of experimental observations. Recent conductance-inference techniques, which decompose single-neuron recordings in rhythmically active circuits into respiratory cycle-phase-dependent excitatory and inhibitory conductances (Molkov et al. 2025; Molkov et al. 2026), offer a route to estimate these weights directly from data and, applied during fictive swallowing, to test the specific breathing–swallowing connections we predict (e.g. the SLN-driven inhibition of inspiratory premotor neurons or the pontine gating of the swallowing circuit). Such data also qualify one of our simplifications: the postinspiratory inhibition that we collapse into a single pontine glottal-closure population is in fact distributed across the preBötC and Bötzinger complex (Molkov et al.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