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pPr>
        <w:pStyle w:val="Heading1"/>
      </w:pPr>
      <w:r>
        <w:t>Contents</w:t>
      </w:r>
    </w:p>
    <w:p>
      <w:r>
        <w:fldChar w:fldCharType="begin"/>
        <w:instrText xml:space="preserve">TOC \o "1-2" \h \z \u</w:instrText>
        <w:fldChar w:fldCharType="separate"/>
        <w:fldChar w:fldCharType="end"/>
      </w:r>
    </w:p>
    <w:p>
      <w:r>
        <w:br w:type="page"/>
      </w:r>
    </w:p>
    <w:p>
      <w:pPr>
        <w:pStyle w:val="Heading1"/>
      </w:pPr>
      <w:r>
        <w:t>Response to Reviewer 1</w:t>
      </w:r>
    </w:p>
    <w:p>
      <w:r>
        <w:t>We thank the reviewer for the careful and constructive assessment of our manuscript. We apologize that Figures 4–6 failed to render in the review PDF; these figures contain the data comparison and the dynamical-systems analysis, so their omission prevented full appraisal. We identified the cause: these figures contained extensive PDF transparency and soft-mask objects (Figure 5 alone contained ~2700 transparency groups, Figure 4 ~385, and Figure 6 a soft-masked raster image), whereas the figures that displayed correctly contained almost none (&lt;40). Transparency is routinely dropped during PDF/A conversion (used by many submission pipelines) and is unsupported by some viewers, which blanks exactly those figures while leaving the others intact. We have re-exported all figures with the transparency fully flattened — eliminating it entirely (now zero transparency objects) while preserving the figures’ appearance — so they no longer depend on transparency support and render identically across renderers. We address each point below.</w:t>
      </w:r>
    </w:p>
    <w:p>
      <w:pPr>
        <w:pStyle w:val="Heading2"/>
      </w:pPr>
      <w:r>
        <w:t>1. Methods-last format / logic of assembling the model</w:t>
      </w:r>
    </w:p>
    <w:p>
      <w:r>
        <w:t>We have reordered the manuscript so that the Methods section now directly follows the Introduction.</w:t>
      </w:r>
    </w:p>
    <w:p>
      <w:pPr>
        <w:pStyle w:val="Heading2"/>
      </w:pPr>
      <w:r>
        <w:t>2. How the parameters were chosen</w:t>
      </w:r>
    </w:p>
    <w:p>
      <w:r>
        <w:t>Yes — the parameters were tuned by hand, and we have clarified both the procedure and the rationale. The text now reads: “The parameters are chosen manually to match the timescale of respiratory phase durations (inspiration, postinspiration, late expiration) of experimental recordings.” Concretely,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3. Last paragraph of Sec. 2.3 seems out of place</w:t>
      </w:r>
    </w:p>
    <w:p>
      <w:r>
        <w:t>We agree that the paragraph did not reference the figures well enough. We have revised it to make the figure reference explicit and to clarify that it describes the Sw-gate mechanism and the resulting spontaneous-swallow behavior:</w:t>
      </w:r>
    </w:p>
    <w:p>
      <w:r>
        <w:t>“Apart from its effects on respiration, pontine inhibition is known to alter swallowing behavior (Takemura 2022). To reproduce these experimental observations, we introduced a pontine neuronal population that gates sensory input from the SLN to the swallowing network (‘Sw. gate’ in the pontine compartment; Fig. [model_sequence]B). We assume that the ‘Sw. gate’ population is intermingled within the pontine respiratory group. In the model, the ‘Sw. gate’ suppresses activation of the swallowing motor population (‘Sw₁’). Consequently, inhibition of the pontine respiratory group also suppresses the ‘Sw. gate’, thereby disinhibiting ‘Sw₁’ and producing spontaneous swallows near the end of the inspiratory phase. 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(Bautista 2014), although the experimental timing is much less regular than in the model.”</w:t>
      </w:r>
    </w:p>
    <w:p>
      <w:pPr>
        <w:pStyle w:val="Heading2"/>
      </w:pPr>
      <w:r>
        <w:t>4. “Inhibition” vs “ablation” of the pons</w:t>
      </w:r>
    </w:p>
    <w:p>
      <w: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5. Units on τ_m (Table 3) and the other time constants</w:t>
      </w:r>
    </w:p>
    <w:p>
      <w: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in effect acting as a large input gain (≈ 1/α = 100) rather than a leak. We therefore reparametrized the model via an exact, dynamics-preserving change of variables (v_new = α v), which relocates this gain from α into the firing-rate sigmoid slope. This yields α = 1 (a proper unit leak), λ = 30, and a membrane time constant that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(α, b, λ, synaptic weights, drives) are dimensionless.</w:t>
      </w:r>
    </w:p>
    <w:p>
      <w:pPr>
        <w:pStyle w:val="Heading2"/>
      </w:pPr>
      <w:r>
        <w:t>6. Physiological meaning of α and b</w:t>
      </w:r>
    </w:p>
    <w:p>
      <w:r>
        <w:t>We have added this to the Methods: α is the membrane leak (decay) coefficient of the activity variable v (with α = 1, v relaxes with time constant τ_v), and b is a tonic bias offset on the input that sets the population’s baseline excitability — an effective firing threshold.</w:t>
      </w:r>
    </w:p>
    <w:p>
      <w:pPr>
        <w:pStyle w:val="Heading2"/>
      </w:pPr>
      <w:r>
        <w:t>7. What the reported mean / uncertainty represent</w:t>
      </w:r>
    </w:p>
    <w:p>
      <w:r>
        <w:t>The reviewer is correct to ask. 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essentially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 The change here is the removal of the artifactual uncertainty, not the central values; this is independent of the reparametrization in point 5, which is exact.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