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pPr>
        <w:pStyle w:val="Heading1"/>
      </w:pPr>
      <w:r>
        <w:t>Contents</w:t>
      </w:r>
    </w:p>
    <w:p>
      <w:r>
        <w:fldChar w:fldCharType="begin"/>
        <w:instrText xml:space="preserve">TOC \o "1-2" \h \z \u</w:instrText>
        <w:fldChar w:fldCharType="separate"/>
        <w:fldChar w:fldCharType="end"/>
      </w:r>
    </w:p>
    <w:p>
      <w:r>
        <w:br w:type="page"/>
      </w:r>
    </w:p>
    <w:p>
      <w:pPr>
        <w:pStyle w:val="Heading1"/>
      </w:pPr>
      <w:r>
        <w:t>Response to Reviewer 1</w:t>
      </w:r>
    </w:p>
    <w:p>
      <w:r>
        <w:t>We thank the reviewer for the careful and constructive assessment of our manuscript. We apologize that Figures 4–6 failed to render in the review PDF; this prevented full appraisal, as these figures contain the data comparison and the dynamical-systems analysis. We have corrected this: the affected figures have been re-exported and their file sizes substantially reduced (this large file size was the source of the rendering failure), and we verified that all figures now display correctly across multiple viewers and operating systems. We address each point below.</w:t>
      </w:r>
    </w:p>
    <w:p>
      <w:pPr>
        <w:pStyle w:val="Heading2"/>
      </w:pPr>
      <w:r>
        <w:t>1. Methods-last format / logic of assembling the model</w:t>
      </w:r>
    </w:p>
    <w:p>
      <w:r>
        <w:t>We thank the reviewer. The Methods section now follows the Introduction directly. In addition, the sequential construction of the model is presented explicitly in the model-development figure and the dedicated subsection “Sequential development of the model connectivity,” where the four successive models (Models 1–4) are introduced one building block at a time and the resulting change in dynamics is described at each stage, with each simpler model’s connectivity serving as the reference point for the next.</w:t>
      </w:r>
    </w:p>
    <w:p>
      <w:pPr>
        <w:pStyle w:val="Heading2"/>
      </w:pPr>
      <w:r>
        <w:t>2. How the parameters were chosen</w:t>
      </w:r>
    </w:p>
    <w:p>
      <w:r>
        <w:t>Yes — the parameters were tuned by hand, and we have clarified both the procedure and the rationale. The text now reads: “The parameters are chosen manually to match the timescale of respiratory phase durations (inspiration, postinspiration, late expiration) of experimental recordings.” Concretely,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3. Last paragraph of Sec. 2.3 seems out of place</w:t>
      </w:r>
    </w:p>
    <w:p>
      <w:r>
        <w:t>We agree that the paragraph did not reference the figures well enough. We have revised it to make the figure reference explicit and to clarify that it describes the Sw-gate mechanism and the resulting spontaneous-swallow behavior:</w:t>
      </w:r>
    </w:p>
    <w:p>
      <w:r>
        <w:t>“Apart from its effects on respiration, pontine inhibition is known to alter swallowing behavior (Takemura 2022). To reproduce these experimental observations, we introduced a pontine neuronal population that gates sensory input from the SLN to the swallowing network (‘Sw. gate’ in the pontine compartment; Fig. [model_sequence]B). We assume that the ‘Sw. gate’ population is intermingled within the pontine respiratory group. In the model, the ‘Sw. gate’ suppresses activation of the swallowing motor population (‘Sw₁’). Consequently, inhibition of the pontine respiratory group also suppresses the ‘Sw. gate’, thereby disinhibiting ‘Sw₁’ and producing spontaneous swallows near the end of the inspiratory phase. 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(Bautista 2014), although the experimental timing is much less regular than in the model.”</w:t>
      </w:r>
    </w:p>
    <w:p>
      <w:pPr>
        <w:pStyle w:val="Heading2"/>
      </w:pPr>
      <w:r>
        <w:t>4. “Inhibition” vs “ablation” of the pons</w:t>
      </w:r>
    </w:p>
    <w:p>
      <w: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5. Units on τ_m (Table 3) and the other time constants</w:t>
      </w:r>
    </w:p>
    <w:p>
      <w: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in effect acting as a large input gain (≈ 1/α = 100) rather than a leak. We therefore reparametrized the model via an exact, dynamics-preserving change of variables (w = αv), which relocates this gain from α into the firing-rate sigmoid slope. This yields α = 1 (a proper unit leak), λ = 30, and a membrane time constant that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(α, b, λ, synaptic weights, drives) are dimensionless.</w:t>
      </w:r>
    </w:p>
    <w:p>
      <w:pPr>
        <w:pStyle w:val="Heading2"/>
      </w:pPr>
      <w:r>
        <w:t>6. Physiological meaning of α and b</w:t>
      </w:r>
    </w:p>
    <w:p>
      <w:r>
        <w:t>We have added this to the Methods. In the activity equation τ_v dv/dt = −α v − m + (drive − b) + input:</w:t>
      </w:r>
    </w:p>
    <w:p>
      <w:r>
        <w:t>• α is the leak (decay) coefficient of the population activity variable v — i.e. the passive membrane leak. With the reparametrization above α = 1, so v relaxes toward its input-driven equilibrium with membrane time constant τ_v; physiologically it represents the leak conductance of the population’s mean membrane potential.</w:t>
        <w:br/>
        <w:t>• b is a constant bias/threshold offset on the net input. It sets the baseline excitability — the tonic input level a population must exceed to become active — and thus plays the role of an effective firing threshold (resting offset) of the population.</w:t>
      </w:r>
    </w:p>
    <w:p>
      <w:pPr>
        <w:pStyle w:val="Heading2"/>
      </w:pPr>
      <w:r>
        <w:t>7. What the reported mean / uncertainty represent</w:t>
      </w:r>
    </w:p>
    <w:p>
      <w:r>
        <w:t>The reviewer is correct to ask. 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essentially constant across cycles. We therefore now report them as deterministic values without an uncertainty (inspiratory duration increased from 0.40 s to 0.57 s and expiratory duration from 2.40 s to 4.44 s under pontine inhibition), and we state explicitly in the Methods that durations are measured per cycle and are reproducible across cycles. These corrected values follow from the improved measurement and are independent of the reparametrization in point 5, which is exact.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