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r>
        <w:rPr>
          <w:b/>
        </w:rPr>
        <w:t>Revised text (Methods, Model parameters):</w:t>
      </w:r>
    </w:p>
    <w:p>
      <w:pPr>
        <w:ind w:left="360"/>
      </w:pPr>
      <w:r>
        <w:t>“The parameters are chosen manually to match the timescale of respiratory phase durations (inspiration, postinspiration, late expiration) and the number of swallows evoked by the long SLN stimulation during the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decomposable into fast and slow subcomponents (τ_v &lt;&lt;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(section "Network dynamics and biophysical properties of neurons") making this explicit. We now state that, by construction, a connectivity-level model cannot predict the effects of manipulations that act on specific ion channels or receptors — indeed, the same degeneracy that justifies omitting intrinsic conductances (similar firing patterns from diverse channel compositions) implies that the response to an agonist or antagonist cannot be inferred from connectivity alone. We outline the data that would be required to advance toward models capable of predicting such manipulations: channel- and receptor-resolved recordings in identified populations (transcriptomic profiling of ion-channel and receptor expression, voltage-clamp dissection of the relevant intrinsic currents, per-population synaptic-conductance profiling, and dynamic-clamp validation of the predicted conductance combinations). We note that such models would allow prediction of how targeting specific receptors in specific populations alters the integrated breathing–swallowing behavior, and thus could guide pharmacological interventions, and we frame the present network-level model as a deliberately modest but necessary first step toward that goal.</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(transcriptomic profiling of ion-channel and receptor expression,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thank the reviewer for pointing us to this work, which we now engage with in the Discussion. Rather than citing it as validation of the respiratory three-phase core (which our model adopts from prior work), we focus on its direct bearing on the connectivity our model itself posits. We note that our connection weights are currently set by hand, constrained only by the requirement that the network reproduce the observed motor patterns, and that the conductance-inference method of Molkov et al. (2025, eLife; 2026, bioRxiv) — which decomposes single-neuron recordings into respiratory cycle-phase-dependent excitatory and inhibitory conductances — offers a route to estimate these weights directly from data and, applied during fictive swallowing, to test the specific breathing–swallowing connections we predict (e.g. the SLN-driven inhibition of inspiratory premotor neurons and the pontine gating of the swallowing circuit). We also acknowledge that these data already qualify one of our simplifications: the postinspiratory inhibition that we collapse into a single pontine glottal-closure population is, in those recordings, distributed across the preBötzinger and Bötzinger complexes. Both references have been added to the bibliography.</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Such data also qualify one of our simplifications: the postinspiratory inhibition that we collapse into a single pontine glottal-closure population is in fact distributed across the preBötC and Bötzinger complex (Molkov et al.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