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Reviewers</w:t>
      </w:r>
    </w:p>
    <w:p>
      <w:r>
        <w:rPr>
          <w:b/>
        </w:rPr>
        <w:t xml:space="preserve">Manuscript: </w:t>
      </w:r>
      <w:r>
        <w:t>"Modeling synaptic interactions between mammalian breathing and swallowing central pattern generators"</w:t>
      </w:r>
    </w:p>
    <w:p>
      <w:r>
        <w:t>Journal: Biological Cybernetics   |   Submission ID: 29310e2a-b84f-49c5-9a3a-c6112183166e</w:t>
      </w:r>
    </w:p>
    <w:p>
      <w:r>
        <w:rPr>
          <w:b/>
        </w:rPr>
        <w:t xml:space="preserve">Note. </w:t>
      </w:r>
      <w:r>
        <w:t>The reviewers' comments are reproduced in regular type; our responses follow in italics.</w:t>
      </w:r>
    </w:p>
    <w:p>
      <w:pPr>
        <w:pStyle w:val="Heading1"/>
      </w:pPr>
      <w:r>
        <w:t>Contents</w:t>
      </w:r>
    </w:p>
    <w:p>
      <w:r>
        <w:fldChar w:fldCharType="begin"/>
        <w:instrText xml:space="preserve">TOC \o "1-1" \h \z \u</w:instrText>
        <w:fldChar w:fldCharType="separate"/>
        <w:fldChar w:fldCharType="end"/>
      </w:r>
    </w:p>
    <w:p>
      <w:r>
        <w:br w:type="page"/>
      </w:r>
    </w:p>
    <w:p>
      <w:pPr>
        <w:pStyle w:val="Heading1"/>
      </w:pPr>
      <w:r>
        <w:t>Response to Reviewer 1</w:t>
      </w:r>
    </w:p>
    <w:p>
      <w:r>
        <w:rPr>
          <w:b/>
        </w:rPr>
        <w:t xml:space="preserve">Reviewer comment. </w:t>
      </w:r>
      <w:r>
        <w:t>Figures 4, 5, and 6 are missing from the review document. So I can't fully appraise the manuscript, especially as these figures include the direct comparison with data and most of the dynamical systems analysis.</w:t>
      </w:r>
    </w:p>
    <w:p>
      <w:r>
        <w:rPr>
          <w:b/>
          <w:i/>
        </w:rPr>
        <w:t xml:space="preserve">Response. </w:t>
      </w:r>
      <w:r>
        <w:rPr>
          <w:i/>
        </w:rPr>
        <w:t>We apologize for this, and we have identified the most likely cause. The affected figures contained extensive PDF transparency and soft-mask objects (Figure 5 alone contained ~2700 transparency groups, Figure 4 ~385, and Figure 6 a soft-masked raster image), whereas the figures that displayed correctly contained almost none (&lt;40). Such transparency is a well-known source of viewer- and pipeline-dependent figure blanking, because it is forbidden under the PDF/X and PDF/A profiles used by many submission and proof-generation pipelines, which flatten or drop exactly those objects while leaving the remaining figures intact.</w:t>
      </w:r>
    </w:p>
    <w:p>
      <w:r>
        <w:rPr>
          <w:i/>
        </w:rPr>
        <w:t>We have regenerated all figures from the simulation scripts and re-exported them with the transparency fully flattened; we verified programmatically that every figure now contains zero transparency objects, so they no longer depend on transparency support and render identically across renderers and operating systems. As part of the same revision, the figures were also regenerated with the corrected, dimensionally-consistent model parametrization described in our response to the comment on Table 3 below; as explained there, this reparametrization reproduces the original firing-rate dynamics to machine precision and changes no result or conclusion. We have additionally checked that the full manuscript, with all nine figures embedded, compiles and displays correctly.</w:t>
      </w:r>
    </w:p>
    <w:p>
      <w:pPr>
        <w:pStyle w:val="Heading2"/>
      </w:pPr>
      <w:r>
        <w:t>Comment 1</w:t>
      </w:r>
    </w:p>
    <w:p>
      <w:r>
        <w:rPr>
          <w:b/>
        </w:rPr>
        <w:t xml:space="preserve">Reviewer comment. </w:t>
      </w:r>
      <w:r>
        <w:t>I'm uncertain the paper benefits from the methods-last format. It seems the model was developed sequentially as part of a family of models (Figures 1-3) but this is skipped through very quickly in the main paper narrative. Given the final model is rather complicated, for this reader it would have been easier going to see the logic in assembling the building blocks, and how the dynamics evolve in isolation and alter on adding each elaboration.</w:t>
      </w:r>
    </w:p>
    <w:p>
      <w:r>
        <w:rPr>
          <w:b/>
          <w:i/>
        </w:rPr>
        <w:t xml:space="preserve">Response. </w:t>
      </w:r>
      <w:r>
        <w:rPr>
          <w:i/>
        </w:rPr>
        <w:t>We have reordered the manuscript so that the Methods section now directly follows the Introduction.</w:t>
      </w:r>
    </w:p>
    <w:p>
      <w:pPr>
        <w:pStyle w:val="Heading2"/>
      </w:pPr>
      <w:r>
        <w:t>Comment 2</w:t>
      </w:r>
    </w:p>
    <w:p>
      <w:r>
        <w:rPr>
          <w:b/>
        </w:rPr>
        <w:t xml:space="preserve">Reviewer comment. </w:t>
      </w:r>
      <w:r>
        <w:t>It is stated that the “parameters are chosen to match the timescale of respiratory phase durations (inspiration, postinspiration, late expiration) of experimental recordings”, does that mean they were tuned by hand? Nothing inherently wrong with that, but it would be helpful to know how they were chosen, not just why.</w:t>
      </w:r>
    </w:p>
    <w:p>
      <w:r>
        <w:rPr>
          <w:b/>
          <w:i/>
        </w:rPr>
        <w:t xml:space="preserve">Response. </w:t>
      </w:r>
      <w:r>
        <w:rPr>
          <w:i/>
        </w:rPr>
        <w:t>Yes — the parameters were tuned by hand, and we have clarified both the procedure and the rationale. The intrinsic time constants and tonic drives were adjusted to reproduce the experimentally observed respiratory phase durations and the number of swallows evoked by a 10 s SLN stimulus, while the synaptic weights were built up stage by stage across Models 1–4, each simpler model's connectivity serving as the starting point for the next.</w:t>
      </w:r>
    </w:p>
    <w:p>
      <w:pPr>
        <w:pStyle w:val="Heading2"/>
      </w:pPr>
      <w:r>
        <w:t>Comment 3</w:t>
      </w:r>
    </w:p>
    <w:p>
      <w:r>
        <w:rPr>
          <w:b/>
        </w:rPr>
        <w:t xml:space="preserve">Reviewer comment. </w:t>
      </w:r>
      <w:r>
        <w:t>The last paragraph of Sec. 2.3 seems a little out of place, is it describing results in one of the figures?</w:t>
      </w:r>
    </w:p>
    <w:p>
      <w:r>
        <w:rPr>
          <w:b/>
          <w:i/>
        </w:rPr>
        <w:t xml:space="preserve">Response. </w:t>
      </w:r>
      <w:r>
        <w:rPr>
          <w:i/>
        </w:rPr>
        <w:t>We agree that the paragraph did not reference the figures well enough. We have revised it to make the figure reference explicit and to clarify that it describes the Sw-gate mechanism and the resulting spontaneous-swallow behavior (now referencing the model-sequence figure, panel B, and the apneusis result).</w:t>
      </w:r>
    </w:p>
    <w:p>
      <w:pPr>
        <w:pStyle w:val="Heading2"/>
      </w:pPr>
      <w:r>
        <w:t>Comment 4</w:t>
      </w:r>
    </w:p>
    <w:p>
      <w:r>
        <w:rPr>
          <w:b/>
        </w:rPr>
        <w:t xml:space="preserve">Reviewer comment. </w:t>
      </w:r>
      <w:r>
        <w:t>“The results of simulated inhibition of the pons are depicted in (Fig. 7B)” — is this ablation rather than inhibition?</w:t>
      </w:r>
    </w:p>
    <w:p>
      <w:r>
        <w:rPr>
          <w:b/>
          <w:i/>
        </w:rPr>
        <w:t xml:space="preserve">Response. </w:t>
      </w:r>
      <w:r>
        <w:rPr>
          <w:i/>
        </w:rPr>
        <w:t>The reviewer is right to ask for the distinction. In our computational model, complete silencing of the pons by inhibition and by ablation are indistinguishable (both set the pontine populations and their descending drive to zero). Throughout the text we therefore use “inhibition of the pons,” to remain consistent with the referenced experimental data.</w:t>
      </w:r>
    </w:p>
    <w:p>
      <w:pPr>
        <w:pStyle w:val="Heading2"/>
      </w:pPr>
      <w:r>
        <w:t>Comment 5</w:t>
      </w:r>
    </w:p>
    <w:p>
      <w:r>
        <w:rPr>
          <w:b/>
        </w:rPr>
        <w:t xml:space="preserve">Reviewer comment. </w:t>
      </w:r>
      <w:r>
        <w:t>Table 3, should give units on tau_m (and any other instances of the taus; I gather all the other parameters and quantities are unitless).</w:t>
      </w:r>
    </w:p>
    <w:p>
      <w:r>
        <w:rPr>
          <w:b/>
          <w:i/>
        </w:rPr>
        <w:t xml:space="preserve">Response. </w:t>
      </w:r>
      <w:r>
        <w:rPr>
          <w:i/>
        </w:rPr>
        <w:t>We thank the reviewer for this comment. Addressing it led us to revisit the intrinsic parameters, where we identified a dimensional inconsistency in the original specification: the membrane time constant was reported as τ_v = 0.005 while the adaptation constants τ_m are on the order of 10³–10⁴ in the same (millisecond) equation — a spread of ~10⁶ — and the leak coefficient α = 0.01 was effectively a large input gain (≈ 1/α = 100) rather than a leak. We reparametrized the model via an exact, dynamics-preserving change of variables, ṽ = α v (with ṽ the rescaled activity variable), which relocates this gain from α into the firing-rate function. The leak then becomes unity, so we drop α altogether and write the activity equation as τ_v dṽ/dt = −ṽ − m + (drive − b) + input, with firing-rate function f(ṽ) = 1 / (1 + e^(−s ṽ)) of slope s = 30 (replacing the slope λ); the membrane time constant is now directly τ_v. We further set τ_v = 2 ms, a physiologically realistic membrane time constant; because the system is singularly perturbed (τ_v ≪ τ_m), the network responses are insensitive to τ_v throughout this range (we verified that simulated traces are unchanged apart from sub-millisecond timing). We confirmed numerically that the reparametrized model reproduces the firing-rate dynamics of the original to machine precision — the reparametrization itself changes no simulation result or figure conclusion. The parameters now span a far less drastic range, are dimensionally consistent (τ_v = 2 ms, τ_m = 1.5–17.5 s), and are physiologically interpretable. As requested, we added units to the time constants — τ_m (ms) in Table 3 and τ_v (ms) in the Methods — and confirm that all remaining quantities (b, s, synaptic weights, drives) are dimensionless.</w:t>
      </w:r>
    </w:p>
    <w:p>
      <w:pPr>
        <w:pStyle w:val="Heading2"/>
      </w:pPr>
      <w:r>
        <w:t>Comment 6</w:t>
      </w:r>
    </w:p>
    <w:p>
      <w:r>
        <w:rPr>
          <w:b/>
        </w:rPr>
        <w:t xml:space="preserve">Reviewer comment. </w:t>
      </w:r>
      <w:r>
        <w:t>For completeness it would be helpful give the physiological meaning for parameters alpha and b.</w:t>
      </w:r>
    </w:p>
    <w:p>
      <w:r>
        <w:rPr>
          <w:b/>
          <w:i/>
        </w:rPr>
        <w:t xml:space="preserve">Response. </w:t>
      </w:r>
      <w:r>
        <w:rPr>
          <w:i/>
        </w:rPr>
        <w:t>In the original specification α was the decay (leak) coefficient of the activity variable; the reparametrization above normalizes it to unity, so it no longer appears as a free parameter — the −ṽ term is a unit membrane leak (ṽ relaxes with time constant τ_v). The parameter b is a tonic bias offset on the input that sets the population's baseline excitability — an effective firing threshold. We have clarified both in the Methods.</w:t>
      </w:r>
    </w:p>
    <w:p>
      <w:pPr>
        <w:pStyle w:val="Heading2"/>
      </w:pPr>
      <w:r>
        <w:t>Comment 7</w:t>
      </w:r>
    </w:p>
    <w:p>
      <w:r>
        <w:rPr>
          <w:b/>
        </w:rPr>
        <w:t xml:space="preserve">Reviewer comment. </w:t>
      </w:r>
      <w:r>
        <w:t>Where quantities are reported with an uncertainty (e.g. “T_i from 0.41±0.05 to 1.29±0.05 s”), should state what the mean (or median?) was calculated over, and what the uncertainty is (SD? SEM?).</w:t>
      </w:r>
    </w:p>
    <w:p>
      <w:r>
        <w:rPr>
          <w:b/>
          <w:i/>
        </w:rPr>
        <w:t xml:space="preserve">Response. </w:t>
      </w:r>
      <w:r>
        <w:rPr>
          <w:i/>
        </w:rPr>
        <w:t>The reported phase durations are computed per respiratory cycle, over the cycles of a single simulation — there is no trial averaging, because the model is deterministic and contains no noise. We found that the previously reported “±0.05 s” did not represent biological variability but was an artifact of our automated phase-segmentation. We have recomputed the durations directly from the inspiratory population activity on a per-cycle basis; because the model settles onto a clean limit cycle, the phase durations are constant across cycles. We therefore now report them as deterministic values without an uncertainty (inspiratory duration increased from 0.44 s to 1.30 s and expiratory duration from 2.37 s to 3.71 s under pontine inhibition — essentially the originally reported values, now without the spurious ±), and we state explicitly in the Methods that durations are measured per cycle and are reproducible across cycles.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