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r>
        <w:rPr>
          <w:b/>
        </w:rPr>
        <w:t>Revised text (Methods, Model parameters):</w:t>
      </w:r>
    </w:p>
    <w:p>
      <w:pPr>
        <w:ind w:left="360"/>
      </w:pPr>
      <w:r>
        <w:t>“The parameters are chosen manually to match the timescale of respiratory phase durations (inspiration, postinspiration, late expiration) of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r>
        <w:rPr>
          <w:b/>
        </w:rPr>
        <w:t>Revised text (Results, pontine-silencing section — title and opening sentence):</w:t>
      </w:r>
    </w:p>
    <w:p>
      <w:pPr>
        <w:ind w:left="360"/>
      </w:pPr>
      <w:r>
        <w:t>“Section title (was “Model validation: deletion of the ponto-medullary synaptic interactions”): “Model validation: silencing of pontine neuronal populations.””</w:t>
      </w:r>
    </w:p>
    <w:p>
      <w:pPr>
        <w:ind w:left="360"/>
      </w:pPr>
      <w:r>
        <w:t>“To test whether the proposed ponto-medullary connectivity captures known physiological dependencies, we simulated inhibition of the pontine compartment (the earlier wording “inhibition/lesion” has been replaced by “inhibition”/“silencing” throughout, consistent with the response above).”</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r>
        <w:rPr>
          <w:b/>
        </w:rPr>
        <w:t>Revised text (Table 3 and Methods):</w:t>
      </w:r>
    </w:p>
    <w:p>
      <w:pPr>
        <w:ind w:left="360"/>
      </w:pPr>
      <w:r>
        <w:t>“Table 3 (Intrinsic parameters) column header: “Population | τ_m (ms)”; caption: “Intrinsic parameters. For all populations: b = 0.2, τ_v = 2 ms, s = 30.” The membrane time constant τ_v = 2 ms is likewise stated with units in the Methods; all remaining quantities (b, s,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(section "Network dynamics and biophysical properties of neurons") making this explicit. We now state that, by construction, a connectivity-level model cannot predict the effects of manipulations that act on specific ion channels or receptors — indeed, the same degeneracy that justifies omitting intrinsic conductances (similar firing patterns from diverse channel compositions) implies that the response to an agonist or antagonist cannot be inferred from connectivity alone. We outline the data that would be required to advance toward models capable of predicting such manipulations: channel- and receptor-resolved recordings in identified populations (voltage-clamp dissection of the relevant intrinsic currents, per-population synaptic-conductance profiling, and dynamic-clamp validation of the predicted conductance combinations). We note that such models would allow prediction of how targeting specific receptors in specific populations alters the integrated breathing–swallowing behavior, and thus could guide pharmacological interventions, and we frame the present network-level model as a deliberately modest but necessary first step toward that goal.</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thank the reviewer for pointing us to this work, which we now engage with in the Discussion. Rather than citing it as validation of the respiratory three-phase core (which our model adopts from prior work), we focus on its direct bearing on the connectivity our model itself posits. We note that our connection weights are currently set by hand, constrained only by the requirement that the network reproduce the observed motor patterns, and that the conductance-inference method of Molkov et al. (2025, eLife; 2026, bioRxiv) — which decomposes single-neuron recordings into respiratory cycle-phase-dependent excitatory and inhibitory conductances — offers a route to estimate these weights directly from data and, applied during fictive swallowing, to test the specific breathing–swallowing connections we predict (e.g. the SLN-driven inhibition of inspiratory premotor neurons and the pontine gating of the swallowing circuit). We also acknowledge that these data already qualify one of our simplifications: the postinspiratory inhibition that we collapse into a single pontine glottal-closure population is, in those recordings, distributed across the preBötzinger and Bötzinger complexes. Both references have been added to the bibliography.</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inhibition that we collapse into a single pontine glottal-closure population is in fact distributed across the preBötC and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