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that our connection weights are hand-set and that this conductance-inference method offers a route to estimate them from data and to test our predicted breathing–swallowing connections; we also concede that it qualifies one of our simplifications (the single pontine post-inspiratory population). Both references have been added (revised text below).</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