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that our connection weights are hand-set and that this conductance-inference method offers a route to estimate them from data and to test our predicted breathing–swallowing connections; we also concede that it qualifies one of our simplifications (our single-node representation of postinspiratory activity, which is in fact distributed across the preBötC and Bötzinger complex). Both references have been added (revised text below).</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activity that we lump into single populations is, in the intact network, distributed across postinspiratory neurons of both the preBötC and the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