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34EE" w14:textId="77777777" w:rsidR="00842D6E" w:rsidRPr="00241250" w:rsidRDefault="007E2B6C" w:rsidP="00CD72D3">
      <w:pPr>
        <w:pStyle w:val="Ttulo1"/>
        <w:spacing w:before="0"/>
        <w:rPr>
          <w:rFonts w:eastAsia="Calibri" w:cs="Arial"/>
        </w:rPr>
      </w:pPr>
      <w:bookmarkStart w:id="0" w:name="_Toc95812549"/>
      <w:r w:rsidRPr="00241250">
        <w:rPr>
          <w:rFonts w:eastAsia="Calibri" w:cs="Arial"/>
        </w:rPr>
        <w:t xml:space="preserve">4</w:t>
      </w:r>
      <w:r w:rsidR="00842D6E" w:rsidRPr="00241250">
        <w:rPr>
          <w:rFonts w:eastAsia="Calibri" w:cs="Arial"/>
        </w:rPr>
        <w:tab/>
      </w:r>
      <w:r w:rsidR="00DD6784" w:rsidRPr="00241250">
        <w:rPr>
          <w:rFonts w:eastAsia="Calibri" w:cs="Arial"/>
        </w:rPr>
        <w:t xml:space="preserve">Tendencias de las políticas</w:t>
      </w:r>
      <w:r w:rsidR="00F17D60" w:rsidRPr="00241250">
        <w:rPr>
          <w:rFonts w:eastAsia="Calibri" w:cs="Arial"/>
        </w:rPr>
        <w:t xml:space="preserve"/>
      </w:r>
      <w:bookmarkEnd w:id="0"/>
    </w:p>
    <w:p w14:paraId="3EF15651" w14:textId="77777777" w:rsidR="00E67679" w:rsidRPr="00241250" w:rsidRDefault="00E67679" w:rsidP="003E0D37">
      <w:pPr>
        <w:spacing w:after="0"/>
      </w:pPr>
    </w:p>
    <w:p w14:paraId="4B8942AF" w14:textId="77777777" w:rsidR="00E73682" w:rsidRPr="00241250" w:rsidRDefault="00057FA4" w:rsidP="00CD72D3">
      <w:pPr>
        <w:pStyle w:val="Ttulo2"/>
        <w:spacing w:after="0"/>
        <w:rPr>
          <w:rFonts w:eastAsia="Times New Roman"/>
          <w:szCs w:val="20"/>
        </w:rPr>
      </w:pPr>
      <w:bookmarkStart w:id="1" w:name="_Toc95812550"/>
      <w:r w:rsidRPr="00241250">
        <w:rPr>
          <w:rFonts w:eastAsia="Times New Roman"/>
          <w:szCs w:val="20"/>
        </w:rPr>
        <w:t xml:space="preserve">4.1</w:t>
      </w:r>
      <w:r w:rsidRPr="00241250">
        <w:rPr>
          <w:rFonts w:eastAsia="Times New Roman"/>
          <w:szCs w:val="20"/>
        </w:rPr>
        <w:tab/>
      </w:r>
      <w:r w:rsidR="000C516D" w:rsidRPr="00241250">
        <w:rPr>
          <w:rFonts w:eastAsia="Times New Roman"/>
          <w:szCs w:val="20"/>
        </w:rPr>
        <w:t xml:space="preserve">Tendencias internacionales</w:t>
      </w:r>
      <w:bookmarkEnd w:id="1"/>
    </w:p>
    <w:p w14:paraId="6BD00492" w14:textId="77777777" w:rsidR="00E67679" w:rsidRPr="00241250" w:rsidRDefault="00E67679" w:rsidP="003E0D37">
      <w:pPr>
        <w:spacing w:after="0"/>
      </w:pPr>
    </w:p>
    <w:p w14:paraId="264C3C71" w14:textId="77777777" w:rsidR="00E73682" w:rsidRPr="00241250" w:rsidRDefault="000F12E9" w:rsidP="00CD72D3">
      <w:pPr>
        <w:pStyle w:val="Ttulo3"/>
        <w:spacing w:before="0"/>
        <w:rPr>
          <w:rFonts w:eastAsia="Times New Roman" w:cs="Arial"/>
        </w:rPr>
      </w:pPr>
      <w:bookmarkStart w:id="2" w:name="_Toc95812551"/>
      <w:r w:rsidRPr="00241250">
        <w:rPr>
          <w:rFonts w:eastAsia="Times New Roman" w:cs="Arial"/>
        </w:rPr>
        <w:t xml:space="preserve">Canadá</w:t>
      </w:r>
      <w:bookmarkEnd w:id="2"/>
      <w:r w:rsidR="00E73682" w:rsidRPr="00241250">
        <w:rPr>
          <w:rFonts w:eastAsia="Times New Roman" w:cs="Arial"/>
        </w:rPr>
        <w:t xml:space="preserve"> </w:t>
      </w:r>
    </w:p>
    <w:p w14:paraId="55B78800" w14:textId="77777777" w:rsidR="00E73682" w:rsidRPr="00241250" w:rsidRDefault="00E73682" w:rsidP="00CD72D3">
      <w:pPr>
        <w:tabs>
          <w:tab w:val="left" w:pos="1701"/>
        </w:tabs>
        <w:spacing w:after="0"/>
        <w:rPr>
          <w:rFonts w:eastAsia="Times New Roman" w:cs="Arial"/>
          <w:szCs w:val="20"/>
        </w:rPr>
      </w:pPr>
    </w:p>
    <w:p w14:paraId="1EB1A2B3" w14:textId="56A9BD05" w:rsidR="00E73682" w:rsidRPr="00241250" w:rsidRDefault="00E73682" w:rsidP="003E0D37">
      <w:pPr>
        <w:tabs>
          <w:tab w:val="left" w:pos="1701"/>
        </w:tabs>
        <w:spacing w:after="120"/>
        <w:rPr>
          <w:rFonts w:eastAsia="Times New Roman" w:cs="Arial"/>
          <w:szCs w:val="20"/>
        </w:rPr>
      </w:pPr>
      <w:r w:rsidRPr="00241250">
        <w:rPr>
          <w:rFonts w:eastAsia="Times New Roman" w:cs="Arial"/>
          <w:szCs w:val="20"/>
        </w:rPr>
        <w:t xml:space="preserve">En 2009 la Ciudad de Toronto adoptó la Ordonanza de Techos Verdes para presentar un requisito paulatino de techos verdes.  De acuerdo con la ordonanza, todo nuevo desarrollo o adición superior a 2,000m² en superficie bruta construida debe contener una porción de techo verde. La superficie requerida para considerarse un techo verde varía entre el 20% y el 60% de la superficie disponible del techo de un edificio, dependiendo de la superficie bruta construida. </w:t>
      </w:r>
    </w:p>
    <w:tbl>
      <w:tblPr>
        <w:tblW w:w="9781"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3"/>
        <w:gridCol w:w="4678"/>
      </w:tblGrid>
      <w:tr w:rsidR="00E73682" w:rsidRPr="00241250" w14:paraId="6A31B210" w14:textId="77777777" w:rsidTr="001E0B25">
        <w:trPr>
          <w:tblHeader/>
        </w:trPr>
        <w:tc>
          <w:tcPr>
            <w:tcW w:w="5103" w:type="dxa"/>
            <w:shd w:val="clear" w:color="auto" w:fill="FFFFFF"/>
            <w:tcMar>
              <w:top w:w="60" w:type="dxa"/>
              <w:left w:w="60" w:type="dxa"/>
              <w:bottom w:w="60" w:type="dxa"/>
              <w:right w:w="60" w:type="dxa"/>
            </w:tcMar>
            <w:vAlign w:val="center"/>
            <w:hideMark/>
          </w:tcPr>
          <w:p w14:paraId="1FBB6141" w14:textId="77777777" w:rsidR="00E73682" w:rsidRPr="00241250" w:rsidRDefault="00E73682" w:rsidP="00CD72D3">
            <w:pPr>
              <w:spacing w:after="0"/>
              <w:jc w:val="center"/>
              <w:rPr>
                <w:rFonts w:eastAsia="Times New Roman" w:cs="Arial"/>
                <w:b/>
                <w:color w:val="000000"/>
                <w:lang w:eastAsia="en-AU"/>
              </w:rPr>
            </w:pPr>
            <w:r w:rsidRPr="00241250">
              <w:rPr>
                <w:rFonts w:eastAsia="Times New Roman" w:cs="Arial"/>
                <w:b/>
                <w:color w:val="000000"/>
                <w:lang w:eastAsia="en-AU"/>
              </w:rPr>
              <w:t xml:space="preserve">Superficie bruta construida</w:t>
            </w:r>
            <w:r w:rsidRPr="00241250">
              <w:rPr>
                <w:rFonts w:eastAsia="Times New Roman" w:cs="Arial"/>
                <w:b/>
                <w:color w:val="000000"/>
                <w:lang w:eastAsia="en-AU"/>
              </w:rPr>
              <w:br/>
              <w:t xml:space="preserve">(Tamaño del edificio)</w:t>
            </w:r>
          </w:p>
        </w:tc>
        <w:tc>
          <w:tcPr>
            <w:tcW w:w="4678" w:type="dxa"/>
            <w:shd w:val="clear" w:color="auto" w:fill="FFFFFF"/>
            <w:tcMar>
              <w:top w:w="60" w:type="dxa"/>
              <w:left w:w="60" w:type="dxa"/>
              <w:bottom w:w="60" w:type="dxa"/>
              <w:right w:w="60" w:type="dxa"/>
            </w:tcMar>
            <w:vAlign w:val="center"/>
            <w:hideMark/>
          </w:tcPr>
          <w:p w14:paraId="728EC53D" w14:textId="77777777" w:rsidR="00E73682" w:rsidRPr="00241250" w:rsidRDefault="00E73682" w:rsidP="00CD72D3">
            <w:pPr>
              <w:spacing w:after="0"/>
              <w:jc w:val="center"/>
              <w:rPr>
                <w:rFonts w:eastAsia="Times New Roman" w:cs="Arial"/>
                <w:b/>
                <w:color w:val="000000"/>
                <w:lang w:eastAsia="en-AU"/>
              </w:rPr>
            </w:pPr>
            <w:r w:rsidRPr="00241250">
              <w:rPr>
                <w:rFonts w:eastAsia="Times New Roman" w:cs="Arial"/>
                <w:b/>
                <w:color w:val="000000"/>
                <w:lang w:eastAsia="en-AU"/>
              </w:rPr>
              <w:t xml:space="preserve">Cobertura de la superficie disponible</w:t>
            </w:r>
            <w:r w:rsidRPr="00241250">
              <w:rPr>
                <w:rFonts w:eastAsia="Times New Roman" w:cs="Arial"/>
                <w:b/>
                <w:color w:val="000000"/>
                <w:lang w:eastAsia="en-AU"/>
              </w:rPr>
              <w:br/>
              <w:t xml:space="preserve">(Tamaño del techo verde)</w:t>
            </w:r>
          </w:p>
        </w:tc>
      </w:tr>
      <w:tr w:rsidR="00E73682" w:rsidRPr="00241250" w14:paraId="73A60F62" w14:textId="77777777" w:rsidTr="001E0B25">
        <w:tc>
          <w:tcPr>
            <w:tcW w:w="5103" w:type="dxa"/>
            <w:shd w:val="clear" w:color="auto" w:fill="FFFFFF"/>
            <w:tcMar>
              <w:top w:w="60" w:type="dxa"/>
              <w:left w:w="60" w:type="dxa"/>
              <w:bottom w:w="60" w:type="dxa"/>
              <w:right w:w="60" w:type="dxa"/>
            </w:tcMar>
            <w:vAlign w:val="center"/>
            <w:hideMark/>
          </w:tcPr>
          <w:p w14:paraId="0F89083A"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2,000-4,999m²</w:t>
            </w:r>
          </w:p>
        </w:tc>
        <w:tc>
          <w:tcPr>
            <w:tcW w:w="4678" w:type="dxa"/>
            <w:shd w:val="clear" w:color="auto" w:fill="FFFFFF"/>
            <w:tcMar>
              <w:top w:w="60" w:type="dxa"/>
              <w:left w:w="60" w:type="dxa"/>
              <w:bottom w:w="60" w:type="dxa"/>
              <w:right w:w="60" w:type="dxa"/>
            </w:tcMar>
            <w:vAlign w:val="center"/>
            <w:hideMark/>
          </w:tcPr>
          <w:p w14:paraId="170D4894"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20%</w:t>
            </w:r>
          </w:p>
        </w:tc>
      </w:tr>
      <w:tr w:rsidR="00E73682" w:rsidRPr="00241250" w14:paraId="642F8A70" w14:textId="77777777" w:rsidTr="001E0B25">
        <w:tc>
          <w:tcPr>
            <w:tcW w:w="5103" w:type="dxa"/>
            <w:shd w:val="clear" w:color="auto" w:fill="FFFFFF"/>
            <w:tcMar>
              <w:top w:w="60" w:type="dxa"/>
              <w:left w:w="60" w:type="dxa"/>
              <w:bottom w:w="60" w:type="dxa"/>
              <w:right w:w="60" w:type="dxa"/>
            </w:tcMar>
            <w:vAlign w:val="center"/>
            <w:hideMark/>
          </w:tcPr>
          <w:p w14:paraId="44A91697"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5,000-9,999m²</w:t>
            </w:r>
          </w:p>
        </w:tc>
        <w:tc>
          <w:tcPr>
            <w:tcW w:w="4678" w:type="dxa"/>
            <w:shd w:val="clear" w:color="auto" w:fill="FFFFFF"/>
            <w:tcMar>
              <w:top w:w="60" w:type="dxa"/>
              <w:left w:w="60" w:type="dxa"/>
              <w:bottom w:w="60" w:type="dxa"/>
              <w:right w:w="60" w:type="dxa"/>
            </w:tcMar>
            <w:vAlign w:val="center"/>
            <w:hideMark/>
          </w:tcPr>
          <w:p w14:paraId="25D47F97"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30%</w:t>
            </w:r>
          </w:p>
        </w:tc>
      </w:tr>
      <w:tr w:rsidR="00E73682" w:rsidRPr="00241250" w14:paraId="0067DBF8" w14:textId="77777777" w:rsidTr="001E0B25">
        <w:tc>
          <w:tcPr>
            <w:tcW w:w="5103" w:type="dxa"/>
            <w:shd w:val="clear" w:color="auto" w:fill="FFFFFF"/>
            <w:tcMar>
              <w:top w:w="60" w:type="dxa"/>
              <w:left w:w="60" w:type="dxa"/>
              <w:bottom w:w="60" w:type="dxa"/>
              <w:right w:w="60" w:type="dxa"/>
            </w:tcMar>
            <w:vAlign w:val="center"/>
            <w:hideMark/>
          </w:tcPr>
          <w:p w14:paraId="0EDEC893"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10,000-14,999m²</w:t>
            </w:r>
          </w:p>
        </w:tc>
        <w:tc>
          <w:tcPr>
            <w:tcW w:w="4678" w:type="dxa"/>
            <w:shd w:val="clear" w:color="auto" w:fill="FFFFFF"/>
            <w:tcMar>
              <w:top w:w="60" w:type="dxa"/>
              <w:left w:w="60" w:type="dxa"/>
              <w:bottom w:w="60" w:type="dxa"/>
              <w:right w:w="60" w:type="dxa"/>
            </w:tcMar>
            <w:vAlign w:val="center"/>
            <w:hideMark/>
          </w:tcPr>
          <w:p w14:paraId="13C179BC"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40%</w:t>
            </w:r>
          </w:p>
        </w:tc>
      </w:tr>
      <w:tr w:rsidR="00E73682" w:rsidRPr="00241250" w14:paraId="5A3F3551" w14:textId="77777777" w:rsidTr="001E0B25">
        <w:tc>
          <w:tcPr>
            <w:tcW w:w="5103" w:type="dxa"/>
            <w:shd w:val="clear" w:color="auto" w:fill="FFFFFF"/>
            <w:tcMar>
              <w:top w:w="60" w:type="dxa"/>
              <w:left w:w="60" w:type="dxa"/>
              <w:bottom w:w="60" w:type="dxa"/>
              <w:right w:w="60" w:type="dxa"/>
            </w:tcMar>
            <w:vAlign w:val="center"/>
            <w:hideMark/>
          </w:tcPr>
          <w:p w14:paraId="2B6E7530"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15,000-19,999m²</w:t>
            </w:r>
          </w:p>
        </w:tc>
        <w:tc>
          <w:tcPr>
            <w:tcW w:w="4678" w:type="dxa"/>
            <w:shd w:val="clear" w:color="auto" w:fill="FFFFFF"/>
            <w:tcMar>
              <w:top w:w="60" w:type="dxa"/>
              <w:left w:w="60" w:type="dxa"/>
              <w:bottom w:w="60" w:type="dxa"/>
              <w:right w:w="60" w:type="dxa"/>
            </w:tcMar>
            <w:vAlign w:val="center"/>
            <w:hideMark/>
          </w:tcPr>
          <w:p w14:paraId="47927FD7"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50%</w:t>
            </w:r>
          </w:p>
        </w:tc>
      </w:tr>
      <w:tr w:rsidR="00E73682" w:rsidRPr="00241250" w14:paraId="06B9E558" w14:textId="77777777" w:rsidTr="001E0B25">
        <w:tc>
          <w:tcPr>
            <w:tcW w:w="5103" w:type="dxa"/>
            <w:shd w:val="clear" w:color="auto" w:fill="FFFFFF"/>
            <w:tcMar>
              <w:top w:w="60" w:type="dxa"/>
              <w:left w:w="60" w:type="dxa"/>
              <w:bottom w:w="60" w:type="dxa"/>
              <w:right w:w="60" w:type="dxa"/>
            </w:tcMar>
            <w:vAlign w:val="center"/>
            <w:hideMark/>
          </w:tcPr>
          <w:p w14:paraId="45ED58F0"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20,000 m² o más</w:t>
            </w:r>
          </w:p>
        </w:tc>
        <w:tc>
          <w:tcPr>
            <w:tcW w:w="4678" w:type="dxa"/>
            <w:shd w:val="clear" w:color="auto" w:fill="FFFFFF"/>
            <w:tcMar>
              <w:top w:w="60" w:type="dxa"/>
              <w:left w:w="60" w:type="dxa"/>
              <w:bottom w:w="60" w:type="dxa"/>
              <w:right w:w="60" w:type="dxa"/>
            </w:tcMar>
            <w:vAlign w:val="center"/>
            <w:hideMark/>
          </w:tcPr>
          <w:p w14:paraId="3D79DA56" w14:textId="77777777" w:rsidR="00E73682" w:rsidRPr="00241250" w:rsidRDefault="00E73682" w:rsidP="00CD72D3">
            <w:pPr>
              <w:spacing w:after="0"/>
              <w:jc w:val="center"/>
              <w:rPr>
                <w:rFonts w:eastAsia="Times New Roman" w:cs="Arial"/>
                <w:color w:val="000000"/>
                <w:lang w:eastAsia="en-AU"/>
              </w:rPr>
            </w:pPr>
            <w:r w:rsidRPr="00241250">
              <w:rPr>
                <w:rFonts w:eastAsia="Times New Roman" w:cs="Arial"/>
                <w:color w:val="000000"/>
                <w:lang w:eastAsia="en-AU"/>
              </w:rPr>
              <w:t xml:space="preserve">60%</w:t>
            </w:r>
          </w:p>
        </w:tc>
      </w:tr>
    </w:tbl>
    <w:p w14:paraId="24A01B1D" w14:textId="77777777" w:rsidR="00E73682" w:rsidRPr="00241250" w:rsidRDefault="00E73682" w:rsidP="003E0D37">
      <w:pPr>
        <w:shd w:val="clear" w:color="auto" w:fill="FFFFFF"/>
        <w:spacing w:before="120" w:after="0"/>
        <w:rPr>
          <w:rFonts w:eastAsia="Times New Roman" w:cs="Arial"/>
          <w:lang w:eastAsia="en-AU"/>
        </w:rPr>
      </w:pPr>
      <w:r w:rsidRPr="00241250">
        <w:rPr>
          <w:rFonts w:eastAsia="Times New Roman" w:cs="Arial"/>
          <w:lang w:eastAsia="en-AU"/>
        </w:rPr>
        <w:t xml:space="preserve">*Nota: Los edificios residenciales que tengan menos de seis pisos o 20m de altura están excentos del requisito de techos verdes.</w:t>
      </w:r>
    </w:p>
    <w:p w14:paraId="2D3CFF94" w14:textId="77777777" w:rsidR="00E73682" w:rsidRPr="00241250" w:rsidRDefault="00E73682" w:rsidP="00CD72D3">
      <w:pPr>
        <w:tabs>
          <w:tab w:val="left" w:pos="1701"/>
        </w:tabs>
        <w:spacing w:after="0"/>
        <w:rPr>
          <w:rFonts w:eastAsia="Times New Roman" w:cs="Arial"/>
          <w:szCs w:val="20"/>
        </w:rPr>
      </w:pPr>
    </w:p>
    <w:p w14:paraId="182594A7" w14:textId="77777777" w:rsidR="00E73682" w:rsidRPr="00241250" w:rsidRDefault="00E73682" w:rsidP="003E0D37">
      <w:pPr>
        <w:tabs>
          <w:tab w:val="left" w:pos="1701"/>
        </w:tabs>
        <w:spacing w:after="120"/>
        <w:rPr>
          <w:rFonts w:eastAsia="Times New Roman" w:cs="Arial"/>
          <w:szCs w:val="20"/>
        </w:rPr>
      </w:pPr>
      <w:r w:rsidRPr="00241250">
        <w:rPr>
          <w:rFonts w:eastAsia="Times New Roman" w:cs="Arial"/>
          <w:szCs w:val="20"/>
        </w:rPr>
        <w:t xml:space="preserve">Para promover los techos verdes en edificios con un área inferior a 2,000m² y en edificios residenciales de menos de seis pisos o 20m de altura (donde no sea obligatorio) la Ciudad de Toronto provee incentivos financieros a través del Programa de Incentivos para Techos Ecológicos.  Bajo dicho programa, los edificios residenciales, industriales, comerciales e institucionales existentes, además de nuevos edificios con una superficie bruta construida de menos de 2,000m², pueden aplicar a un subsidio de;</w:t>
      </w:r>
      <w:r w:rsidRPr="00241250">
        <w:rPr>
          <w:rFonts w:eastAsia="Times New Roman" w:cs="Arial"/>
          <w:szCs w:val="20"/>
          <w:vertAlign w:val="superscript"/>
        </w:rPr>
        <w:t xml:space="preserve"/>
      </w:r>
      <w:r w:rsidRPr="00241250">
        <w:rPr>
          <w:rFonts w:eastAsia="Times New Roman" w:cs="Arial"/>
          <w:szCs w:val="20"/>
        </w:rPr>
        <w:t xml:space="preserve"/>
      </w:r>
      <w:proofErr w:type="gramStart"/>
      <w:r w:rsidRPr="00241250">
        <w:rPr>
          <w:rFonts w:eastAsia="Times New Roman" w:cs="Arial"/>
          <w:szCs w:val="20"/>
        </w:rPr>
        <w:t xml:space="preserve"/>
      </w:r>
      <w:proofErr w:type="gramEnd"/>
    </w:p>
    <w:p w14:paraId="74C493DF" w14:textId="77777777" w:rsidR="00E73682" w:rsidRPr="00241250" w:rsidRDefault="00E73682" w:rsidP="003E0D37">
      <w:pPr>
        <w:pStyle w:val="Sinespaciado"/>
        <w:numPr>
          <w:ilvl w:val="0"/>
          <w:numId w:val="6"/>
        </w:numPr>
        <w:spacing w:after="120"/>
        <w:ind w:left="567" w:hanging="567"/>
        <w:rPr>
          <w:rFonts w:eastAsia="Times New Roman" w:cs="Arial"/>
          <w:szCs w:val="20"/>
        </w:rPr>
      </w:pPr>
      <w:r w:rsidRPr="00241250">
        <w:rPr>
          <w:rFonts w:eastAsia="Times New Roman" w:cs="Arial"/>
          <w:szCs w:val="20"/>
        </w:rPr>
        <w:t xml:space="preserve">Hasta 100 dólares canadienses por metro cuadrado instalado; o</w:t>
      </w:r>
    </w:p>
    <w:p w14:paraId="3469BD9C" w14:textId="61B984F0" w:rsidR="00E73682" w:rsidRDefault="00E73682" w:rsidP="003E0D37">
      <w:pPr>
        <w:pStyle w:val="Sinespaciado"/>
        <w:numPr>
          <w:ilvl w:val="0"/>
          <w:numId w:val="6"/>
        </w:numPr>
        <w:ind w:left="567" w:hanging="567"/>
        <w:rPr>
          <w:rFonts w:eastAsia="Times New Roman" w:cs="Arial"/>
          <w:szCs w:val="20"/>
        </w:rPr>
      </w:pPr>
      <w:r w:rsidRPr="00241250">
        <w:rPr>
          <w:rFonts w:eastAsia="Times New Roman" w:cs="Arial"/>
          <w:szCs w:val="20"/>
        </w:rPr>
        <w:t xml:space="preserve">Hasta 1,000 dólares canadienses para una evaluación estructural.</w:t>
      </w:r>
      <w:r w:rsidR="003E0D37">
        <w:rPr>
          <w:rFonts w:eastAsia="Times New Roman" w:cs="Arial"/>
          <w:szCs w:val="20"/>
        </w:rPr>
        <w:t xml:space="preserve"> </w:t>
      </w:r>
    </w:p>
    <w:p w14:paraId="252DC614" w14:textId="77777777" w:rsidR="003E0D37" w:rsidRPr="00241250" w:rsidRDefault="003E0D37" w:rsidP="003E0D37">
      <w:pPr>
        <w:pStyle w:val="Sinespaciado"/>
        <w:rPr>
          <w:rFonts w:eastAsia="Times New Roman" w:cs="Arial"/>
          <w:szCs w:val="20"/>
        </w:rPr>
      </w:pPr>
    </w:p>
    <w:p w14:paraId="11827521"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Las solicitudes para beneficiarse de este subsidio deben estar aprobadas antes de comenzar cualquier obra.  </w:t>
      </w:r>
    </w:p>
    <w:p w14:paraId="54D426EA" w14:textId="77777777" w:rsidR="00E73682" w:rsidRPr="00241250" w:rsidRDefault="00E73682" w:rsidP="00CD72D3">
      <w:pPr>
        <w:tabs>
          <w:tab w:val="left" w:pos="1701"/>
        </w:tabs>
        <w:spacing w:after="0"/>
        <w:rPr>
          <w:rFonts w:eastAsia="Times New Roman" w:cs="Arial"/>
          <w:szCs w:val="20"/>
        </w:rPr>
      </w:pPr>
    </w:p>
    <w:p w14:paraId="69E5B420" w14:textId="77777777" w:rsidR="00E73682" w:rsidRPr="00241250" w:rsidRDefault="00E73682" w:rsidP="00CD72D3">
      <w:pPr>
        <w:tabs>
          <w:tab w:val="left" w:pos="1701"/>
        </w:tabs>
        <w:spacing w:after="0"/>
        <w:rPr>
          <w:rFonts w:eastAsia="Times New Roman" w:cs="Arial"/>
          <w:szCs w:val="20"/>
        </w:rPr>
      </w:pPr>
      <w:proofErr w:type="gramStart"/>
      <w:r w:rsidRPr="00241250">
        <w:rPr>
          <w:rFonts w:eastAsia="Times New Roman" w:cs="Arial"/>
          <w:szCs w:val="20"/>
        </w:rPr>
        <w:t xml:space="preserve">Adicionalmente, la Ciudad de Toronto se ha comprometido a proveer techos verdes para cubrir al menos un 50% de la superficie disponible de los techos de todos los nuevos desarrollos de la Ciudad.</w:t>
      </w:r>
      <w:proofErr w:type="gramEnd"/>
      <w:r w:rsidRPr="00241250">
        <w:rPr>
          <w:rFonts w:eastAsia="Times New Roman" w:cs="Arial"/>
          <w:szCs w:val="20"/>
        </w:rPr>
        <w:t xml:space="preserve"/>
      </w:r>
      <w:r w:rsidR="00921F80">
        <w:rPr>
          <w:rFonts w:eastAsia="Times New Roman" w:cs="Arial"/>
          <w:szCs w:val="20"/>
        </w:rPr>
        <w:t xml:space="preserve"/>
      </w:r>
      <w:r w:rsidRPr="00241250">
        <w:rPr>
          <w:rFonts w:eastAsia="Times New Roman" w:cs="Arial"/>
          <w:szCs w:val="20"/>
        </w:rPr>
        <w:t xml:space="preserve">  </w:t>
      </w:r>
    </w:p>
    <w:p w14:paraId="2C3C16A7" w14:textId="77777777" w:rsidR="00E73682" w:rsidRPr="00241250" w:rsidRDefault="00E73682" w:rsidP="00CD72D3">
      <w:pPr>
        <w:tabs>
          <w:tab w:val="left" w:pos="1701"/>
        </w:tabs>
        <w:spacing w:after="0"/>
        <w:rPr>
          <w:rFonts w:eastAsia="Times New Roman" w:cs="Arial"/>
          <w:szCs w:val="20"/>
        </w:rPr>
      </w:pPr>
    </w:p>
    <w:p w14:paraId="183DD525"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Para generar conciencia sobre los techos verdes, la Ciudad de Toronto identificó diversas estrategias que incluyen la creación de una página web sobre techos verdes, la instauración de talleres técnicos y el entrenamiento del personal.  La Ciudad llevó a cabo una campaña de concientización que incluyó una página web y dos sesiones de entrenamiento detalladas de 'Introducción a los techos verdes' para una muestra representativa del personal de la ciudad. La sesión de entrenamiento proporcionó información sobre los beneficios de los techos verdes, además de su diseño y construcción.</w:t>
      </w:r>
      <w:proofErr w:type="gramStart"/>
      <w:r w:rsidRPr="00241250">
        <w:rPr>
          <w:rFonts w:eastAsia="Times New Roman" w:cs="Arial"/>
          <w:szCs w:val="20"/>
        </w:rPr>
        <w:t xml:space="preserve"/>
      </w:r>
      <w:proofErr w:type="gramEnd"/>
      <w:r w:rsidRPr="00241250">
        <w:rPr>
          <w:rFonts w:eastAsia="Times New Roman" w:cs="Arial"/>
          <w:szCs w:val="20"/>
        </w:rPr>
        <w:t xml:space="preserve"/>
      </w:r>
      <w:r w:rsidRPr="00241250">
        <w:rPr>
          <w:rFonts w:eastAsia="Times New Roman" w:cs="Arial"/>
          <w:szCs w:val="20"/>
        </w:rPr>
        <w:noBreakHyphen/>
        <w:t xml:space="preserve"/>
      </w:r>
    </w:p>
    <w:p w14:paraId="1726A311" w14:textId="63EFA0DA" w:rsidR="00E9296E" w:rsidRDefault="00E9296E" w:rsidP="00CD72D3">
      <w:pPr>
        <w:tabs>
          <w:tab w:val="left" w:pos="1701"/>
        </w:tabs>
        <w:spacing w:after="0"/>
        <w:rPr>
          <w:rFonts w:eastAsia="Times New Roman" w:cs="Arial"/>
          <w:szCs w:val="20"/>
        </w:rPr>
      </w:pPr>
      <w:r>
        <w:rPr>
          <w:rFonts w:eastAsia="Times New Roman" w:cs="Arial"/>
          <w:szCs w:val="20"/>
        </w:rPr>
        <w:br w:type="page"/>
      </w:r>
    </w:p>
    <w:p w14:paraId="404A869D" w14:textId="487B90B2" w:rsidR="00E73682" w:rsidRPr="00241250" w:rsidRDefault="000F12E9" w:rsidP="00CD72D3">
      <w:pPr>
        <w:tabs>
          <w:tab w:val="left" w:pos="1701"/>
        </w:tabs>
        <w:spacing w:after="0"/>
        <w:rPr>
          <w:rFonts w:eastAsia="Times New Roman" w:cs="Arial"/>
          <w:b/>
          <w:color w:val="243F60" w:themeColor="accent1" w:themeShade="7F"/>
          <w:sz w:val="24"/>
          <w:szCs w:val="24"/>
        </w:rPr>
      </w:pPr>
      <w:r w:rsidRPr="00241250">
        <w:rPr>
          <w:rFonts w:eastAsia="Times New Roman" w:cs="Arial"/>
          <w:b/>
          <w:color w:val="243F60" w:themeColor="accent1" w:themeShade="7F"/>
          <w:sz w:val="24"/>
          <w:szCs w:val="24"/>
        </w:rPr>
        <w:lastRenderedPageBreak/>
        <w:t xml:space="preserve">Estados Unidos de América</w:t>
      </w:r>
    </w:p>
    <w:p w14:paraId="061AFACC" w14:textId="77777777" w:rsidR="000F12E9" w:rsidRPr="00241250" w:rsidRDefault="000F12E9" w:rsidP="00CD72D3">
      <w:pPr>
        <w:tabs>
          <w:tab w:val="left" w:pos="1701"/>
        </w:tabs>
        <w:spacing w:after="0"/>
        <w:rPr>
          <w:rFonts w:eastAsia="Times New Roman" w:cs="Arial"/>
          <w:szCs w:val="20"/>
        </w:rPr>
      </w:pPr>
    </w:p>
    <w:p w14:paraId="54141BB5"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Para promover los techos ecológicos, la Ciudad de Portland introdujo una variedad de incentivos.  Un techo ecológico se define como una instalación de aguas lluvias en el tejado que ha sido certificada por la Oficina de Servicios Ambientales de la Ciudad. Estos techos incentivan la expansión de la infraestructura del manejo de aguas lluvias de la Ciudad de Portland.</w:t>
      </w:r>
      <w:r w:rsidR="000F12E9" w:rsidRPr="00241250">
        <w:rPr>
          <w:rFonts w:eastAsia="Times New Roman" w:cs="Arial"/>
          <w:szCs w:val="20"/>
        </w:rPr>
        <w:t xml:space="preserve"/>
      </w:r>
      <w:proofErr w:type="gramStart"/>
      <w:r w:rsidR="000F12E9" w:rsidRPr="00241250">
        <w:rPr>
          <w:rFonts w:eastAsia="Times New Roman" w:cs="Arial"/>
          <w:szCs w:val="20"/>
        </w:rPr>
        <w:t xml:space="preserve"/>
      </w:r>
      <w:proofErr w:type="gramEnd"/>
      <w:r w:rsidR="000F12E9" w:rsidRPr="00241250">
        <w:rPr>
          <w:rFonts w:eastAsia="Times New Roman" w:cs="Arial"/>
          <w:szCs w:val="20"/>
        </w:rPr>
        <w:t xml:space="preserve">  </w:t>
      </w:r>
    </w:p>
    <w:p w14:paraId="2277C00E" w14:textId="77777777" w:rsidR="00E73682" w:rsidRPr="00241250" w:rsidRDefault="00E73682" w:rsidP="00CD72D3">
      <w:pPr>
        <w:tabs>
          <w:tab w:val="left" w:pos="1701"/>
        </w:tabs>
        <w:spacing w:after="0"/>
        <w:rPr>
          <w:rFonts w:eastAsia="Times New Roman" w:cs="Arial"/>
          <w:szCs w:val="20"/>
        </w:rPr>
      </w:pPr>
    </w:p>
    <w:p w14:paraId="670F8FA2"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Los nuevos proyectos pueden aplicar a la "Opción Adicional de Aprovechamiento Tipo para Techos Ecológicos".  Bajo esta opción adicional, se promueven los techos verdes mediante la posibilidad de construir 3m² de superficie adicional por cada metro cuadrado de techo ecológico proporcionado.  Además, los jardines de tejado, que no se consideran techos ecológicos, tienen permitido 1m² de superficie adicional por cada metro cuadrado de techo verde proporcionado.</w:t>
      </w:r>
      <w:r w:rsidRPr="00241250">
        <w:rPr>
          <w:rFonts w:eastAsia="Times New Roman" w:cs="Arial"/>
          <w:szCs w:val="20"/>
          <w:vertAlign w:val="superscript"/>
        </w:rPr>
        <w:t xml:space="preserve"/>
      </w:r>
      <w:r w:rsidRPr="00241250">
        <w:rPr>
          <w:rFonts w:eastAsia="Times New Roman" w:cs="Arial"/>
          <w:szCs w:val="20"/>
        </w:rPr>
        <w:t xml:space="preserve"/>
      </w:r>
      <w:r w:rsidRPr="00241250">
        <w:rPr>
          <w:rFonts w:eastAsia="Times New Roman" w:cs="Arial"/>
          <w:szCs w:val="20"/>
          <w:vertAlign w:val="superscript"/>
        </w:rPr>
        <w:t xml:space="preserve"/>
      </w:r>
      <w:r w:rsidRPr="00241250">
        <w:rPr>
          <w:rFonts w:eastAsia="Times New Roman" w:cs="Arial"/>
          <w:szCs w:val="20"/>
        </w:rPr>
        <w:t xml:space="preserve"/>
      </w:r>
      <w:r w:rsidRPr="00241250">
        <w:rPr>
          <w:rFonts w:eastAsia="Times New Roman" w:cs="Arial"/>
          <w:szCs w:val="20"/>
          <w:vertAlign w:val="superscript"/>
        </w:rPr>
        <w:t xml:space="preserve"/>
      </w:r>
      <w:r w:rsidRPr="00241250">
        <w:rPr>
          <w:rFonts w:eastAsia="Times New Roman" w:cs="Arial"/>
          <w:szCs w:val="20"/>
        </w:rPr>
        <w:t xml:space="preserve"/>
      </w:r>
      <w:r w:rsidRPr="00241250">
        <w:rPr>
          <w:rFonts w:eastAsia="Times New Roman" w:cs="Arial"/>
          <w:szCs w:val="20"/>
          <w:vertAlign w:val="superscript"/>
        </w:rPr>
        <w:t xml:space="preserve"/>
      </w:r>
      <w:r w:rsidRPr="00241250">
        <w:rPr>
          <w:rFonts w:eastAsia="Times New Roman" w:cs="Arial"/>
          <w:szCs w:val="20"/>
        </w:rPr>
        <w:t xml:space="preserve"> </w:t>
      </w:r>
    </w:p>
    <w:p w14:paraId="5B061CAE" w14:textId="77777777" w:rsidR="00E73682" w:rsidRPr="00241250" w:rsidRDefault="00E73682" w:rsidP="00CD72D3">
      <w:pPr>
        <w:tabs>
          <w:tab w:val="left" w:pos="1701"/>
        </w:tabs>
        <w:spacing w:after="0"/>
        <w:rPr>
          <w:rFonts w:eastAsia="Times New Roman" w:cs="Arial"/>
          <w:szCs w:val="20"/>
        </w:rPr>
      </w:pPr>
    </w:p>
    <w:p w14:paraId="14872F75"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Anteriormente, la Ciudad de Portland también proporcionaba incentivos financieros directos a los dueños de las propiedades y a los desarrolladores, con el motivo de promover los techos ecológicos.  El programa de incentivos ofrecía hasta 50 dólares canadienses por cada metro cuadrado de techo ecológico instalado.  Este programa finalizó en 2014.  </w:t>
      </w:r>
    </w:p>
    <w:p w14:paraId="213452BA" w14:textId="77777777" w:rsidR="00E73682" w:rsidRPr="00241250" w:rsidRDefault="00E73682" w:rsidP="00CD72D3">
      <w:pPr>
        <w:tabs>
          <w:tab w:val="left" w:pos="1701"/>
        </w:tabs>
        <w:spacing w:after="0"/>
        <w:rPr>
          <w:rFonts w:eastAsia="Times New Roman" w:cs="Arial"/>
          <w:szCs w:val="20"/>
        </w:rPr>
      </w:pPr>
    </w:p>
    <w:p w14:paraId="6F567E63"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La Ciudad de Portland también tiene el requisito de que todos los edificios que sean propiedad de la Ciudad deben tener una cobertura de techos verdes del 70%, incluyendo todo edificio nuevo y toda renovación de edificios existentes.  </w:t>
      </w:r>
    </w:p>
    <w:p w14:paraId="643B8D7B" w14:textId="77777777" w:rsidR="00E73682" w:rsidRPr="00241250" w:rsidRDefault="00E73682" w:rsidP="00CD72D3">
      <w:pPr>
        <w:tabs>
          <w:tab w:val="left" w:pos="1701"/>
        </w:tabs>
        <w:spacing w:after="0"/>
        <w:rPr>
          <w:rFonts w:eastAsia="Times New Roman" w:cs="Arial"/>
          <w:szCs w:val="20"/>
        </w:rPr>
      </w:pPr>
    </w:p>
    <w:p w14:paraId="5BAF88B7" w14:textId="77777777" w:rsidR="00E73682" w:rsidRPr="00241250" w:rsidRDefault="00E73682" w:rsidP="00CD72D3">
      <w:pPr>
        <w:tabs>
          <w:tab w:val="left" w:pos="1701"/>
        </w:tabs>
        <w:spacing w:after="0"/>
        <w:rPr>
          <w:rFonts w:eastAsia="Times New Roman" w:cs="Arial"/>
          <w:szCs w:val="20"/>
        </w:rPr>
      </w:pPr>
      <w:r w:rsidRPr="00241250">
        <w:rPr>
          <w:rFonts w:eastAsia="Times New Roman" w:cs="Arial"/>
          <w:szCs w:val="20"/>
        </w:rPr>
        <w:t xml:space="preserve">Más aún, la Ciudad de Portland apoya los incentivos mediante la educación de la comunidad local a través de información sobre eventos, guías y recursos, una lista de profesionales recomendados (desde ingenieros de estructuras hasta arquitectos) y el monitoreo de la cantidad y el impacto de los techos ecológicos.  </w:t>
      </w:r>
    </w:p>
    <w:p w14:paraId="782230C5" w14:textId="11116C93" w:rsidR="00057BAB" w:rsidRPr="00241250" w:rsidRDefault="00057BAB" w:rsidP="00CD72D3">
      <w:pPr>
        <w:spacing w:after="0"/>
        <w:rPr>
          <w:rFonts w:cs="Arial"/>
          <w:highlight w:val="yellow"/>
        </w:rPr>
      </w:pPr>
    </w:p>
    <w:sectPr w:rsidR="00057BAB" w:rsidRPr="00241250" w:rsidSect="00B00903">
      <w:headerReference w:type="even" r:id="rId11"/>
      <w:headerReference w:type="default" r:id="rId12"/>
      <w:footerReference w:type="even" r:id="rId13"/>
      <w:footerReference w:type="default" r:id="rId14"/>
      <w:headerReference w:type="first" r:id="rId15"/>
      <w:footerReference w:type="first" r:id="rId16"/>
      <w:pgSz w:w="11906" w:h="16838"/>
      <w:pgMar w:top="1985" w:right="1440" w:bottom="851" w:left="652" w:header="765"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83A49" w14:textId="77777777" w:rsidR="00E830EB" w:rsidRDefault="00E830EB" w:rsidP="00C35431">
      <w:pPr>
        <w:spacing w:after="0"/>
      </w:pPr>
      <w:r>
        <w:separator/>
      </w:r>
    </w:p>
  </w:endnote>
  <w:endnote w:type="continuationSeparator" w:id="0">
    <w:p w14:paraId="00F8BD11" w14:textId="77777777" w:rsidR="00E830EB" w:rsidRDefault="00E830EB" w:rsidP="00C354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17DC" w14:textId="77777777" w:rsidR="00D36198" w:rsidRDefault="00D361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748184"/>
      <w:docPartObj>
        <w:docPartGallery w:val="Page Numbers (Bottom of Page)"/>
        <w:docPartUnique/>
      </w:docPartObj>
    </w:sdtPr>
    <w:sdtEndPr/>
    <w:sdtContent>
      <w:p w14:paraId="5EA0F2DA" w14:textId="0DC8C411" w:rsidR="00B7768B" w:rsidRDefault="00B7768B">
        <w:pPr>
          <w:pStyle w:val="Piedepgina"/>
          <w:jc w:val="right"/>
        </w:pPr>
        <w:r>
          <w:t xml:space="preserve">Página | </w:t>
        </w:r>
        <w:r>
          <w:fldChar w:fldCharType="begin"/>
        </w:r>
        <w:r>
          <w:instrText xml:space="preserve"> PAGE   \* MERGEFORMAT </w:instrText>
        </w:r>
        <w:r>
          <w:fldChar w:fldCharType="separate"/>
        </w:r>
        <w:r w:rsidR="00BC7BD1">
          <w:rPr>
            <w:noProof/>
          </w:rPr>
          <w:t xml:space="preserve"/>
        </w:r>
        <w:r>
          <w:rPr>
            <w:noProof/>
          </w:rPr>
          <w:fldChar w:fldCharType="end"/>
        </w:r>
        <w:r>
          <w:t xml:space="preserve"> </w:t>
        </w:r>
      </w:p>
    </w:sdtContent>
  </w:sdt>
  <w:p w14:paraId="5F91885C" w14:textId="77777777" w:rsidR="00BC542D" w:rsidRDefault="00BC542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1C9A" w14:textId="77777777" w:rsidR="00D36198" w:rsidRDefault="00D361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3C4D" w14:textId="77777777" w:rsidR="00E830EB" w:rsidRDefault="00E830EB" w:rsidP="00C35431">
      <w:pPr>
        <w:spacing w:after="0"/>
      </w:pPr>
      <w:r>
        <w:separator/>
      </w:r>
    </w:p>
  </w:footnote>
  <w:footnote w:type="continuationSeparator" w:id="0">
    <w:p w14:paraId="7BC30F62" w14:textId="77777777" w:rsidR="00E830EB" w:rsidRDefault="00E830EB" w:rsidP="00C354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9CF01" w14:textId="77777777" w:rsidR="00D36198" w:rsidRDefault="00D3619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4958A" w14:textId="77777777" w:rsidR="00B7768B" w:rsidRDefault="00B7768B" w:rsidP="00B7768B">
    <w:pPr>
      <w:pStyle w:val="Encabezado"/>
    </w:pPr>
    <w:r>
      <w:t xml:space="preserve">Ciudad de Bayswater - Artículo de investigación sobre muros y techos verdes </w:t>
    </w:r>
  </w:p>
  <w:p w14:paraId="6A99A5E6" w14:textId="77777777" w:rsidR="00BC542D" w:rsidRPr="00350521" w:rsidRDefault="00BC542D" w:rsidP="00B7768B">
    <w:pPr>
      <w:pStyle w:val="Encabezado"/>
      <w:rPr>
        <w:rFonts w:cs="Arial"/>
        <w:b/>
        <w:color w:val="FFFFFF"/>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2EFC" w14:textId="77777777" w:rsidR="00BC542D" w:rsidRPr="00350521" w:rsidRDefault="00BC542D" w:rsidP="006120E5"/>
  <w:p w14:paraId="1DF05363" w14:textId="77777777" w:rsidR="00BC542D" w:rsidRPr="000E6496" w:rsidRDefault="00BC542D" w:rsidP="00CC31D3">
    <w:pPr>
      <w:pStyle w:val="Encabezado"/>
      <w:rPr>
        <w:rFonts w:cs="Arial"/>
        <w:color w:val="FFFFFF"/>
        <w:sz w:val="80"/>
        <w:szCs w:val="80"/>
      </w:rPr>
    </w:pPr>
    <w:r>
      <w:rPr>
        <w:rFonts w:cs="Arial"/>
        <w:color w:val="FFFFFF"/>
        <w:sz w:val="80"/>
        <w:szCs w:val="80"/>
      </w:rPr>
      <w:t xml:space="preserve">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5E0"/>
    <w:multiLevelType w:val="hybridMultilevel"/>
    <w:tmpl w:val="0C741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F417AC"/>
    <w:multiLevelType w:val="hybridMultilevel"/>
    <w:tmpl w:val="98825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E5306F5"/>
    <w:multiLevelType w:val="hybridMultilevel"/>
    <w:tmpl w:val="CEAAE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B6332D1"/>
    <w:multiLevelType w:val="hybridMultilevel"/>
    <w:tmpl w:val="680C0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A51E58"/>
    <w:multiLevelType w:val="hybridMultilevel"/>
    <w:tmpl w:val="ADEE1C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D37338C"/>
    <w:multiLevelType w:val="hybridMultilevel"/>
    <w:tmpl w:val="646287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46368321">
    <w:abstractNumId w:val="5"/>
  </w:num>
  <w:num w:numId="2" w16cid:durableId="421294154">
    <w:abstractNumId w:val="1"/>
  </w:num>
  <w:num w:numId="3" w16cid:durableId="1902474734">
    <w:abstractNumId w:val="4"/>
  </w:num>
  <w:num w:numId="4" w16cid:durableId="172233625">
    <w:abstractNumId w:val="2"/>
  </w:num>
  <w:num w:numId="5" w16cid:durableId="520779504">
    <w:abstractNumId w:val="0"/>
  </w:num>
  <w:num w:numId="6" w16cid:durableId="190988104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hideSpellingErrors/>
  <w:hideGrammaticalErrors/>
  <w:proofState w:spelling="clean" w:grammar="clean"/>
  <w:defaultTabStop w:val="720"/>
  <w:hyphenationZone w:val="425"/>
  <w:defaultTableStyle w:val="CoBTableStyle"/>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922"/>
    <w:rsid w:val="00011491"/>
    <w:rsid w:val="000167C5"/>
    <w:rsid w:val="000168B6"/>
    <w:rsid w:val="000224D5"/>
    <w:rsid w:val="00023AE5"/>
    <w:rsid w:val="00030A3D"/>
    <w:rsid w:val="000550F2"/>
    <w:rsid w:val="00056660"/>
    <w:rsid w:val="00057BAB"/>
    <w:rsid w:val="00057FA4"/>
    <w:rsid w:val="00063B68"/>
    <w:rsid w:val="0009027B"/>
    <w:rsid w:val="000A1AF4"/>
    <w:rsid w:val="000A3615"/>
    <w:rsid w:val="000A50FB"/>
    <w:rsid w:val="000C347B"/>
    <w:rsid w:val="000C516D"/>
    <w:rsid w:val="000D6543"/>
    <w:rsid w:val="000E43A3"/>
    <w:rsid w:val="000E6496"/>
    <w:rsid w:val="000F12E9"/>
    <w:rsid w:val="000F14C8"/>
    <w:rsid w:val="000F2B8C"/>
    <w:rsid w:val="001037E1"/>
    <w:rsid w:val="001101BB"/>
    <w:rsid w:val="00114045"/>
    <w:rsid w:val="00116CC8"/>
    <w:rsid w:val="0012445D"/>
    <w:rsid w:val="001359D4"/>
    <w:rsid w:val="001458F6"/>
    <w:rsid w:val="00184C54"/>
    <w:rsid w:val="001904BB"/>
    <w:rsid w:val="001A2EC9"/>
    <w:rsid w:val="001A6D77"/>
    <w:rsid w:val="001D359C"/>
    <w:rsid w:val="001D39AF"/>
    <w:rsid w:val="001E0B25"/>
    <w:rsid w:val="001E257D"/>
    <w:rsid w:val="001F3725"/>
    <w:rsid w:val="00206BDF"/>
    <w:rsid w:val="00211A46"/>
    <w:rsid w:val="00212E60"/>
    <w:rsid w:val="00220DC6"/>
    <w:rsid w:val="00241250"/>
    <w:rsid w:val="002454E8"/>
    <w:rsid w:val="00260D57"/>
    <w:rsid w:val="00276BE8"/>
    <w:rsid w:val="00295C07"/>
    <w:rsid w:val="002A5D04"/>
    <w:rsid w:val="002A67CC"/>
    <w:rsid w:val="002B64ED"/>
    <w:rsid w:val="002B6A2B"/>
    <w:rsid w:val="002C08FA"/>
    <w:rsid w:val="002D311C"/>
    <w:rsid w:val="0032203C"/>
    <w:rsid w:val="00347F25"/>
    <w:rsid w:val="00350521"/>
    <w:rsid w:val="00366822"/>
    <w:rsid w:val="003747B3"/>
    <w:rsid w:val="003A2090"/>
    <w:rsid w:val="003B7655"/>
    <w:rsid w:val="003C7E3A"/>
    <w:rsid w:val="003E0D37"/>
    <w:rsid w:val="003E747F"/>
    <w:rsid w:val="003F7846"/>
    <w:rsid w:val="00432D10"/>
    <w:rsid w:val="004402BC"/>
    <w:rsid w:val="0044034B"/>
    <w:rsid w:val="00441D04"/>
    <w:rsid w:val="004750D9"/>
    <w:rsid w:val="00476320"/>
    <w:rsid w:val="00484D22"/>
    <w:rsid w:val="0049287C"/>
    <w:rsid w:val="004A5115"/>
    <w:rsid w:val="004B2CDD"/>
    <w:rsid w:val="004B4719"/>
    <w:rsid w:val="004D66EF"/>
    <w:rsid w:val="004D676A"/>
    <w:rsid w:val="004E6BF3"/>
    <w:rsid w:val="004E7CA1"/>
    <w:rsid w:val="004F0A46"/>
    <w:rsid w:val="0051776E"/>
    <w:rsid w:val="00523709"/>
    <w:rsid w:val="005603BF"/>
    <w:rsid w:val="005712B9"/>
    <w:rsid w:val="00573C7A"/>
    <w:rsid w:val="00577E67"/>
    <w:rsid w:val="00582515"/>
    <w:rsid w:val="005A00BF"/>
    <w:rsid w:val="005B4E63"/>
    <w:rsid w:val="005C4284"/>
    <w:rsid w:val="005D180C"/>
    <w:rsid w:val="005D21B4"/>
    <w:rsid w:val="005E2CE9"/>
    <w:rsid w:val="005E43DA"/>
    <w:rsid w:val="00601F43"/>
    <w:rsid w:val="0060208B"/>
    <w:rsid w:val="00603243"/>
    <w:rsid w:val="00611665"/>
    <w:rsid w:val="006120E5"/>
    <w:rsid w:val="006128CB"/>
    <w:rsid w:val="00616009"/>
    <w:rsid w:val="006247B8"/>
    <w:rsid w:val="00624A41"/>
    <w:rsid w:val="00641B3C"/>
    <w:rsid w:val="00655FAF"/>
    <w:rsid w:val="006603F0"/>
    <w:rsid w:val="00674BDB"/>
    <w:rsid w:val="00680B19"/>
    <w:rsid w:val="0069044F"/>
    <w:rsid w:val="00693C13"/>
    <w:rsid w:val="006B3DB7"/>
    <w:rsid w:val="006B4F2D"/>
    <w:rsid w:val="006C08E2"/>
    <w:rsid w:val="006C360D"/>
    <w:rsid w:val="006D68F5"/>
    <w:rsid w:val="006E46B0"/>
    <w:rsid w:val="006F5AFE"/>
    <w:rsid w:val="00703907"/>
    <w:rsid w:val="00710544"/>
    <w:rsid w:val="0071745B"/>
    <w:rsid w:val="00730DBC"/>
    <w:rsid w:val="0073495C"/>
    <w:rsid w:val="00740266"/>
    <w:rsid w:val="00741DDD"/>
    <w:rsid w:val="00756649"/>
    <w:rsid w:val="007610FC"/>
    <w:rsid w:val="007A1F52"/>
    <w:rsid w:val="007A398B"/>
    <w:rsid w:val="007B1F71"/>
    <w:rsid w:val="007B2A2B"/>
    <w:rsid w:val="007B3410"/>
    <w:rsid w:val="007C2801"/>
    <w:rsid w:val="007C5F07"/>
    <w:rsid w:val="007D0641"/>
    <w:rsid w:val="007D3DB5"/>
    <w:rsid w:val="007D766B"/>
    <w:rsid w:val="007E2B6C"/>
    <w:rsid w:val="007F3152"/>
    <w:rsid w:val="00801D53"/>
    <w:rsid w:val="008031F6"/>
    <w:rsid w:val="00813114"/>
    <w:rsid w:val="00825FD5"/>
    <w:rsid w:val="00827568"/>
    <w:rsid w:val="00832F5D"/>
    <w:rsid w:val="00842D6E"/>
    <w:rsid w:val="00844052"/>
    <w:rsid w:val="0084659D"/>
    <w:rsid w:val="008957D5"/>
    <w:rsid w:val="008B6DF2"/>
    <w:rsid w:val="008B7C6B"/>
    <w:rsid w:val="008C780F"/>
    <w:rsid w:val="008E29E3"/>
    <w:rsid w:val="00900238"/>
    <w:rsid w:val="009208B3"/>
    <w:rsid w:val="00920BEA"/>
    <w:rsid w:val="00921F80"/>
    <w:rsid w:val="00932AE2"/>
    <w:rsid w:val="00936E36"/>
    <w:rsid w:val="00941A47"/>
    <w:rsid w:val="009451BB"/>
    <w:rsid w:val="009651FD"/>
    <w:rsid w:val="00966412"/>
    <w:rsid w:val="00984666"/>
    <w:rsid w:val="00996891"/>
    <w:rsid w:val="009976F0"/>
    <w:rsid w:val="009A09CE"/>
    <w:rsid w:val="009E66BB"/>
    <w:rsid w:val="009F5423"/>
    <w:rsid w:val="00A226A5"/>
    <w:rsid w:val="00A303F5"/>
    <w:rsid w:val="00A30A26"/>
    <w:rsid w:val="00A560B2"/>
    <w:rsid w:val="00A61AE1"/>
    <w:rsid w:val="00A633A1"/>
    <w:rsid w:val="00A71C67"/>
    <w:rsid w:val="00A72195"/>
    <w:rsid w:val="00A85746"/>
    <w:rsid w:val="00A92F30"/>
    <w:rsid w:val="00AC3D8A"/>
    <w:rsid w:val="00AC7BB7"/>
    <w:rsid w:val="00AE50C4"/>
    <w:rsid w:val="00AF0ED5"/>
    <w:rsid w:val="00B00903"/>
    <w:rsid w:val="00B102E4"/>
    <w:rsid w:val="00B11023"/>
    <w:rsid w:val="00B324EA"/>
    <w:rsid w:val="00B34882"/>
    <w:rsid w:val="00B7768B"/>
    <w:rsid w:val="00B859C5"/>
    <w:rsid w:val="00B92A2E"/>
    <w:rsid w:val="00B94FCC"/>
    <w:rsid w:val="00BA5EF0"/>
    <w:rsid w:val="00BB2B85"/>
    <w:rsid w:val="00BB34C7"/>
    <w:rsid w:val="00BB36A9"/>
    <w:rsid w:val="00BC2BFC"/>
    <w:rsid w:val="00BC542D"/>
    <w:rsid w:val="00BC7BD1"/>
    <w:rsid w:val="00BD5D81"/>
    <w:rsid w:val="00BE53BA"/>
    <w:rsid w:val="00BF71D3"/>
    <w:rsid w:val="00C03D82"/>
    <w:rsid w:val="00C31DC5"/>
    <w:rsid w:val="00C32768"/>
    <w:rsid w:val="00C34BB4"/>
    <w:rsid w:val="00C35431"/>
    <w:rsid w:val="00C3587B"/>
    <w:rsid w:val="00C542AE"/>
    <w:rsid w:val="00C774F7"/>
    <w:rsid w:val="00C80FF9"/>
    <w:rsid w:val="00C836B0"/>
    <w:rsid w:val="00C8674B"/>
    <w:rsid w:val="00CC31D3"/>
    <w:rsid w:val="00CC5F39"/>
    <w:rsid w:val="00CD27EA"/>
    <w:rsid w:val="00CD72D3"/>
    <w:rsid w:val="00CE4FF7"/>
    <w:rsid w:val="00CF00D5"/>
    <w:rsid w:val="00CF64DD"/>
    <w:rsid w:val="00D137CA"/>
    <w:rsid w:val="00D2453F"/>
    <w:rsid w:val="00D36198"/>
    <w:rsid w:val="00D4185C"/>
    <w:rsid w:val="00D44D26"/>
    <w:rsid w:val="00D72FD8"/>
    <w:rsid w:val="00D92A13"/>
    <w:rsid w:val="00DA0A17"/>
    <w:rsid w:val="00DA4E66"/>
    <w:rsid w:val="00DB6E4A"/>
    <w:rsid w:val="00DD6784"/>
    <w:rsid w:val="00DE4C4D"/>
    <w:rsid w:val="00DF60C3"/>
    <w:rsid w:val="00E0743B"/>
    <w:rsid w:val="00E12297"/>
    <w:rsid w:val="00E2344A"/>
    <w:rsid w:val="00E2485A"/>
    <w:rsid w:val="00E3086E"/>
    <w:rsid w:val="00E325F9"/>
    <w:rsid w:val="00E36318"/>
    <w:rsid w:val="00E45B9C"/>
    <w:rsid w:val="00E64730"/>
    <w:rsid w:val="00E67679"/>
    <w:rsid w:val="00E73682"/>
    <w:rsid w:val="00E830EB"/>
    <w:rsid w:val="00E9296E"/>
    <w:rsid w:val="00EB78F7"/>
    <w:rsid w:val="00ED35EB"/>
    <w:rsid w:val="00EF0990"/>
    <w:rsid w:val="00F17D60"/>
    <w:rsid w:val="00F208D7"/>
    <w:rsid w:val="00F226D0"/>
    <w:rsid w:val="00F4007D"/>
    <w:rsid w:val="00F4097C"/>
    <w:rsid w:val="00F53922"/>
    <w:rsid w:val="00F74AD2"/>
    <w:rsid w:val="00F74CCC"/>
    <w:rsid w:val="00FA3C70"/>
    <w:rsid w:val="00FB37B3"/>
    <w:rsid w:val="00FC73A7"/>
    <w:rsid w:val="00FD69DD"/>
    <w:rsid w:val="00FE57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580A778"/>
  <w15:docId w15:val="{D0A4A8E0-8BA3-4B6A-B2D2-3476FD03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D6E"/>
    <w:pPr>
      <w:spacing w:line="240" w:lineRule="auto"/>
      <w:jc w:val="both"/>
    </w:pPr>
    <w:rPr>
      <w:rFonts w:ascii="Arial" w:hAnsi="Arial"/>
    </w:rPr>
  </w:style>
  <w:style w:type="paragraph" w:styleId="Ttulo1">
    <w:name w:val="heading 1"/>
    <w:basedOn w:val="Normal"/>
    <w:next w:val="Normal"/>
    <w:link w:val="Ttulo1Car"/>
    <w:uiPriority w:val="9"/>
    <w:qFormat/>
    <w:rsid w:val="00842D6E"/>
    <w:pPr>
      <w:keepNext/>
      <w:keepLines/>
      <w:spacing w:before="240" w:after="0"/>
      <w:outlineLvl w:val="0"/>
    </w:pPr>
    <w:rPr>
      <w:rFonts w:eastAsiaTheme="majorEastAsia" w:cstheme="majorBidi"/>
      <w:b/>
      <w:color w:val="365F91" w:themeColor="accent1" w:themeShade="BF"/>
      <w:sz w:val="32"/>
      <w:szCs w:val="32"/>
    </w:rPr>
  </w:style>
  <w:style w:type="paragraph" w:styleId="Ttulo2">
    <w:name w:val="heading 2"/>
    <w:basedOn w:val="Normal"/>
    <w:next w:val="Normal"/>
    <w:link w:val="Ttulo2Car"/>
    <w:uiPriority w:val="9"/>
    <w:unhideWhenUsed/>
    <w:qFormat/>
    <w:rsid w:val="00842D6E"/>
    <w:pPr>
      <w:tabs>
        <w:tab w:val="left" w:pos="567"/>
        <w:tab w:val="left" w:pos="1134"/>
        <w:tab w:val="left" w:pos="2835"/>
        <w:tab w:val="left" w:pos="3600"/>
      </w:tabs>
      <w:adjustRightInd w:val="0"/>
      <w:outlineLvl w:val="1"/>
    </w:pPr>
    <w:rPr>
      <w:rFonts w:eastAsia="Calibri" w:cs="Arial"/>
      <w:b/>
      <w:color w:val="002C50"/>
      <w:sz w:val="28"/>
    </w:rPr>
  </w:style>
  <w:style w:type="paragraph" w:styleId="Ttulo3">
    <w:name w:val="heading 3"/>
    <w:basedOn w:val="Normal"/>
    <w:next w:val="Normal"/>
    <w:link w:val="Ttulo3Car"/>
    <w:uiPriority w:val="9"/>
    <w:unhideWhenUsed/>
    <w:qFormat/>
    <w:rsid w:val="00842D6E"/>
    <w:pPr>
      <w:keepNext/>
      <w:keepLines/>
      <w:spacing w:before="40" w:after="0"/>
      <w:outlineLvl w:val="2"/>
    </w:pPr>
    <w:rPr>
      <w:rFonts w:eastAsiaTheme="majorEastAsia" w:cstheme="majorBidi"/>
      <w:b/>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36E3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36E36"/>
    <w:rPr>
      <w:rFonts w:ascii="Tahoma" w:hAnsi="Tahoma" w:cs="Tahoma"/>
      <w:sz w:val="16"/>
      <w:szCs w:val="16"/>
    </w:rPr>
  </w:style>
  <w:style w:type="paragraph" w:styleId="Encabezado">
    <w:name w:val="header"/>
    <w:basedOn w:val="Normal"/>
    <w:link w:val="EncabezadoCar"/>
    <w:uiPriority w:val="99"/>
    <w:unhideWhenUsed/>
    <w:rsid w:val="00C35431"/>
    <w:pPr>
      <w:tabs>
        <w:tab w:val="center" w:pos="4680"/>
        <w:tab w:val="right" w:pos="9360"/>
      </w:tabs>
      <w:spacing w:after="0"/>
    </w:pPr>
  </w:style>
  <w:style w:type="character" w:customStyle="1" w:styleId="EncabezadoCar">
    <w:name w:val="Encabezado Car"/>
    <w:basedOn w:val="Fuentedeprrafopredeter"/>
    <w:link w:val="Encabezado"/>
    <w:uiPriority w:val="99"/>
    <w:rsid w:val="00C35431"/>
  </w:style>
  <w:style w:type="paragraph" w:styleId="Piedepgina">
    <w:name w:val="footer"/>
    <w:basedOn w:val="Normal"/>
    <w:link w:val="PiedepginaCar"/>
    <w:uiPriority w:val="99"/>
    <w:unhideWhenUsed/>
    <w:rsid w:val="00C35431"/>
    <w:pPr>
      <w:tabs>
        <w:tab w:val="center" w:pos="4680"/>
        <w:tab w:val="right" w:pos="9360"/>
      </w:tabs>
      <w:spacing w:after="0"/>
    </w:pPr>
  </w:style>
  <w:style w:type="character" w:customStyle="1" w:styleId="PiedepginaCar">
    <w:name w:val="Pie de página Car"/>
    <w:basedOn w:val="Fuentedeprrafopredeter"/>
    <w:link w:val="Piedepgina"/>
    <w:uiPriority w:val="99"/>
    <w:rsid w:val="00C35431"/>
  </w:style>
  <w:style w:type="table" w:customStyle="1" w:styleId="CoBTableStyle">
    <w:name w:val="CoB Table Style"/>
    <w:basedOn w:val="Tablanormal"/>
    <w:uiPriority w:val="99"/>
    <w:rsid w:val="00DA4E66"/>
    <w:pPr>
      <w:spacing w:before="80" w:after="80" w:line="240" w:lineRule="auto"/>
    </w:pPr>
    <w:rPr>
      <w:rFonts w:ascii="Arial" w:hAnsi="Arial"/>
    </w:rPr>
    <w:tblPr>
      <w:tblBorders>
        <w:bottom w:val="single" w:sz="4" w:space="0" w:color="000000"/>
        <w:insideH w:val="single" w:sz="4" w:space="0" w:color="000000"/>
        <w:insideV w:val="single" w:sz="4" w:space="0" w:color="000000"/>
      </w:tblBorders>
    </w:tblPr>
    <w:tcPr>
      <w:shd w:val="clear" w:color="auto" w:fill="auto"/>
    </w:tcPr>
    <w:tblStylePr w:type="firstRow">
      <w:pPr>
        <w:wordWrap/>
        <w:spacing w:beforeLines="80" w:before="80" w:beforeAutospacing="0" w:afterLines="80" w:after="80" w:afterAutospacing="0" w:line="240" w:lineRule="auto"/>
        <w:jc w:val="left"/>
      </w:pPr>
      <w:rPr>
        <w:rFonts w:ascii="Arial" w:hAnsi="Arial"/>
        <w:b/>
        <w:color w:val="000000"/>
        <w:sz w:val="22"/>
      </w:rPr>
      <w:tblPr/>
      <w:trPr>
        <w:cantSplit/>
        <w:tblHeader/>
      </w:trPr>
      <w:tcPr>
        <w:tcBorders>
          <w:top w:val="nil"/>
          <w:left w:val="nil"/>
          <w:bottom w:val="single" w:sz="4" w:space="0" w:color="000000"/>
          <w:right w:val="nil"/>
          <w:insideH w:val="nil"/>
          <w:insideV w:val="nil"/>
          <w:tl2br w:val="nil"/>
          <w:tr2bl w:val="nil"/>
        </w:tcBorders>
      </w:tcPr>
    </w:tblStylePr>
    <w:tblStylePr w:type="lastRow">
      <w:rPr>
        <w:rFonts w:ascii="Arial" w:hAnsi="Arial"/>
        <w:sz w:val="22"/>
      </w:rPr>
      <w:tblPr/>
      <w:tcPr>
        <w:tcBorders>
          <w:bottom w:val="nil"/>
        </w:tcBorders>
        <w:shd w:val="clear" w:color="auto" w:fill="auto"/>
      </w:tcPr>
    </w:tblStylePr>
  </w:style>
  <w:style w:type="table" w:styleId="Tablaconcuadrcula">
    <w:name w:val="Table Grid"/>
    <w:basedOn w:val="Tablanormal"/>
    <w:uiPriority w:val="59"/>
    <w:rsid w:val="00DA4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842D6E"/>
    <w:rPr>
      <w:rFonts w:ascii="Arial" w:eastAsia="Calibri" w:hAnsi="Arial" w:cs="Arial"/>
      <w:b/>
      <w:color w:val="002C50"/>
      <w:sz w:val="28"/>
    </w:rPr>
  </w:style>
  <w:style w:type="character" w:customStyle="1" w:styleId="Ttulo1Car">
    <w:name w:val="Título 1 Car"/>
    <w:basedOn w:val="Fuentedeprrafopredeter"/>
    <w:link w:val="Ttulo1"/>
    <w:uiPriority w:val="9"/>
    <w:rsid w:val="00842D6E"/>
    <w:rPr>
      <w:rFonts w:ascii="Arial" w:eastAsiaTheme="majorEastAsia" w:hAnsi="Arial" w:cstheme="majorBidi"/>
      <w:b/>
      <w:color w:val="365F91" w:themeColor="accent1" w:themeShade="BF"/>
      <w:sz w:val="32"/>
      <w:szCs w:val="32"/>
    </w:rPr>
  </w:style>
  <w:style w:type="paragraph" w:styleId="TtuloTDC">
    <w:name w:val="TOC Heading"/>
    <w:basedOn w:val="Ttulo1"/>
    <w:next w:val="Normal"/>
    <w:uiPriority w:val="39"/>
    <w:semiHidden/>
    <w:unhideWhenUsed/>
    <w:qFormat/>
    <w:rsid w:val="00842D6E"/>
    <w:pPr>
      <w:spacing w:before="480"/>
      <w:outlineLvl w:val="9"/>
    </w:pPr>
    <w:rPr>
      <w:b w:val="0"/>
      <w:bCs/>
      <w:sz w:val="28"/>
      <w:szCs w:val="28"/>
      <w:lang w:val="en-US" w:eastAsia="ja-JP"/>
    </w:rPr>
  </w:style>
  <w:style w:type="paragraph" w:styleId="TDC1">
    <w:name w:val="toc 1"/>
    <w:basedOn w:val="Normal"/>
    <w:next w:val="Normal"/>
    <w:autoRedefine/>
    <w:uiPriority w:val="39"/>
    <w:unhideWhenUsed/>
    <w:rsid w:val="00DE4C4D"/>
    <w:pPr>
      <w:tabs>
        <w:tab w:val="left" w:pos="440"/>
        <w:tab w:val="right" w:leader="dot" w:pos="9804"/>
      </w:tabs>
      <w:spacing w:after="0" w:line="360" w:lineRule="auto"/>
    </w:pPr>
    <w:rPr>
      <w:rFonts w:eastAsia="Calibri" w:cs="Arial"/>
      <w:noProof/>
      <w:sz w:val="24"/>
      <w:szCs w:val="24"/>
    </w:rPr>
  </w:style>
  <w:style w:type="paragraph" w:styleId="TDC2">
    <w:name w:val="toc 2"/>
    <w:basedOn w:val="Normal"/>
    <w:next w:val="Normal"/>
    <w:autoRedefine/>
    <w:uiPriority w:val="39"/>
    <w:unhideWhenUsed/>
    <w:rsid w:val="00842D6E"/>
    <w:pPr>
      <w:spacing w:after="100"/>
      <w:ind w:left="220"/>
    </w:pPr>
    <w:rPr>
      <w:rFonts w:asciiTheme="minorHAnsi" w:hAnsiTheme="minorHAnsi"/>
    </w:rPr>
  </w:style>
  <w:style w:type="paragraph" w:styleId="TDC3">
    <w:name w:val="toc 3"/>
    <w:basedOn w:val="Normal"/>
    <w:next w:val="Normal"/>
    <w:autoRedefine/>
    <w:uiPriority w:val="39"/>
    <w:unhideWhenUsed/>
    <w:rsid w:val="00842D6E"/>
    <w:pPr>
      <w:spacing w:after="100"/>
      <w:ind w:left="440"/>
    </w:pPr>
    <w:rPr>
      <w:rFonts w:asciiTheme="minorHAnsi" w:hAnsiTheme="minorHAnsi"/>
    </w:rPr>
  </w:style>
  <w:style w:type="character" w:styleId="Hipervnculo">
    <w:name w:val="Hyperlink"/>
    <w:basedOn w:val="Fuentedeprrafopredeter"/>
    <w:uiPriority w:val="99"/>
    <w:unhideWhenUsed/>
    <w:rsid w:val="00842D6E"/>
    <w:rPr>
      <w:color w:val="0000FF" w:themeColor="hyperlink"/>
      <w:u w:val="single"/>
    </w:rPr>
  </w:style>
  <w:style w:type="character" w:customStyle="1" w:styleId="Ttulo3Car">
    <w:name w:val="Título 3 Car"/>
    <w:basedOn w:val="Fuentedeprrafopredeter"/>
    <w:link w:val="Ttulo3"/>
    <w:uiPriority w:val="9"/>
    <w:rsid w:val="00842D6E"/>
    <w:rPr>
      <w:rFonts w:ascii="Arial" w:eastAsiaTheme="majorEastAsia" w:hAnsi="Arial" w:cstheme="majorBidi"/>
      <w:b/>
      <w:color w:val="243F60" w:themeColor="accent1" w:themeShade="7F"/>
      <w:sz w:val="24"/>
      <w:szCs w:val="24"/>
    </w:rPr>
  </w:style>
  <w:style w:type="paragraph" w:styleId="Prrafodelista">
    <w:name w:val="List Paragraph"/>
    <w:basedOn w:val="Normal"/>
    <w:uiPriority w:val="34"/>
    <w:qFormat/>
    <w:rsid w:val="00842D6E"/>
    <w:pPr>
      <w:ind w:left="720"/>
      <w:contextualSpacing/>
    </w:pPr>
  </w:style>
  <w:style w:type="table" w:customStyle="1" w:styleId="TableGrid2">
    <w:name w:val="Table Grid2"/>
    <w:basedOn w:val="Tablanormal"/>
    <w:uiPriority w:val="59"/>
    <w:rsid w:val="00842D6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anormal"/>
    <w:next w:val="Tablaconcuadrcula"/>
    <w:uiPriority w:val="39"/>
    <w:rsid w:val="00090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anormal"/>
    <w:next w:val="Tablaconcuadrcula"/>
    <w:uiPriority w:val="39"/>
    <w:rsid w:val="007E2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anormal"/>
    <w:uiPriority w:val="59"/>
    <w:rsid w:val="007E2B6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anormal"/>
    <w:next w:val="Tablaconcuadrcula"/>
    <w:uiPriority w:val="39"/>
    <w:rsid w:val="00F1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B1F71"/>
    <w:rPr>
      <w:sz w:val="16"/>
      <w:szCs w:val="16"/>
    </w:rPr>
  </w:style>
  <w:style w:type="paragraph" w:styleId="Textocomentario">
    <w:name w:val="annotation text"/>
    <w:basedOn w:val="Normal"/>
    <w:link w:val="TextocomentarioCar"/>
    <w:uiPriority w:val="99"/>
    <w:semiHidden/>
    <w:unhideWhenUsed/>
    <w:rsid w:val="007B1F71"/>
    <w:rPr>
      <w:sz w:val="20"/>
      <w:szCs w:val="20"/>
    </w:rPr>
  </w:style>
  <w:style w:type="character" w:customStyle="1" w:styleId="TextocomentarioCar">
    <w:name w:val="Texto comentario Car"/>
    <w:basedOn w:val="Fuentedeprrafopredeter"/>
    <w:link w:val="Textocomentario"/>
    <w:uiPriority w:val="99"/>
    <w:semiHidden/>
    <w:rsid w:val="007B1F71"/>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7B1F71"/>
    <w:rPr>
      <w:b/>
      <w:bCs/>
    </w:rPr>
  </w:style>
  <w:style w:type="character" w:customStyle="1" w:styleId="AsuntodelcomentarioCar">
    <w:name w:val="Asunto del comentario Car"/>
    <w:basedOn w:val="TextocomentarioCar"/>
    <w:link w:val="Asuntodelcomentario"/>
    <w:uiPriority w:val="99"/>
    <w:semiHidden/>
    <w:rsid w:val="007B1F71"/>
    <w:rPr>
      <w:rFonts w:ascii="Arial" w:hAnsi="Arial"/>
      <w:b/>
      <w:bCs/>
      <w:sz w:val="20"/>
      <w:szCs w:val="20"/>
    </w:rPr>
  </w:style>
  <w:style w:type="paragraph" w:styleId="Sinespaciado">
    <w:name w:val="No Spacing"/>
    <w:uiPriority w:val="1"/>
    <w:qFormat/>
    <w:rsid w:val="006C360D"/>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09BADFC2B7D34897096EAC42221F17" ma:contentTypeVersion="0" ma:contentTypeDescription="Create a new document." ma:contentTypeScope="" ma:versionID="8c9da975ca00d0e7935cce671c169fc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3E723A-D5D0-4DE9-BFBE-744161E30F1D}">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E3A078AC-2554-45BA-A03D-35F97A314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52BFD9-0063-4E23-89C7-D9F463CDFA60}">
  <ds:schemaRefs>
    <ds:schemaRef ds:uri="http://schemas.openxmlformats.org/officeDocument/2006/bibliography"/>
  </ds:schemaRefs>
</ds:datastoreItem>
</file>

<file path=customXml/itemProps4.xml><?xml version="1.0" encoding="utf-8"?>
<ds:datastoreItem xmlns:ds="http://schemas.openxmlformats.org/officeDocument/2006/customXml" ds:itemID="{3111DBE8-83F9-484B-86A0-3D8271B4A1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City of Bayswater</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Bell</dc:creator>
  <cp:lastModifiedBy>Pablo Toro</cp:lastModifiedBy>
  <cp:revision>2</cp:revision>
  <cp:lastPrinted>2020-03-11T07:50:00Z</cp:lastPrinted>
  <dcterms:created xsi:type="dcterms:W3CDTF">2025-09-14T16:43:00Z</dcterms:created>
  <dcterms:modified xsi:type="dcterms:W3CDTF">2025-09-14T16:43:00Z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0x010100CE09BADFC2B7D34897096EAC42221F17</vt:lpwstr>
  </property>
  <property fmtid="{D5CDD505-2E9C-101B-9397-08002B2CF9AE}" pid="3" name="DWDocAuthor">
    <vt:lpwstr/>
  </property>
  <property fmtid="{D5CDD505-2E9C-101B-9397-08002B2CF9AE}" pid="4" name="DWDocClass">
    <vt:lpwstr/>
  </property>
  <property fmtid="{D5CDD505-2E9C-101B-9397-08002B2CF9AE}" pid="5" name="DWDocClassId">
    <vt:lpwstr/>
  </property>
  <property fmtid="{D5CDD505-2E9C-101B-9397-08002B2CF9AE}" pid="6" name="DWDocPrecis">
    <vt:lpwstr/>
  </property>
  <property fmtid="{D5CDD505-2E9C-101B-9397-08002B2CF9AE}" pid="7" name="DWDocNo">
    <vt:lpwstr/>
  </property>
  <property fmtid="{D5CDD505-2E9C-101B-9397-08002B2CF9AE}" pid="8" name="DWDocSetID">
    <vt:lpwstr/>
  </property>
  <property fmtid="{D5CDD505-2E9C-101B-9397-08002B2CF9AE}" pid="9" name="DWDocType">
    <vt:lpwstr/>
  </property>
  <property fmtid="{D5CDD505-2E9C-101B-9397-08002B2CF9AE}" pid="10" name="DWDocVersion">
    <vt:lpwstr/>
  </property>
</Properties>
</file>