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Programming Standards: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Language: C# using standard .NET Framework guidelines in Unity 2021.3 LTS.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Architecture: Component-Based Architecture with Manager Pattern (CaseManager, InventoryManager, DialogueManager, SaveSystem).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Object-Oriented Principles: Encapsulation for private fields, Interfaces (IInteractable) for interactive world items.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Standards for Code Writing Style: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Names: PascalCase (e.g., EvidenceItem, SuspectProfileManager, CipherPuzzleController).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 Names: PascalCase with verbs describing action (e.g., CollectEvidence(), VerifyAccusation(), SaveGameState()).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Names: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fields: camelCase with underscore prefix (e.g., _evidenceCount, _isPuzzleSolved).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/ Serialized fields: camelCase (e.g., interactDistance, suspectName).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Constants: ALL_CAPS_WITH_UNDERSCORES (e.g., MAX_EVIDENCE_COUNT = 5).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Indentation: 4 spaces (standard C# tab formatting), brace placement on new line (Allman style).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Standards for Declaring Variables: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specify explicit data types instead of var unless type is obvious from constructor.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[SerializeField] private instead of public fields to expose variables to Unity Inspector while maintaining encapsulation.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variables logically using [Header("...")] and [Tooltip("...")] attributes in Unity scripts.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Standards for Functions Declarations: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Responsibility Principle: Each function must perform exactly one logical operation.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should not exceed 40 lines of code; break complex calculations into helper methods.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 documentation comments (/// &lt;summary&gt;) required for all public methods and manager classes.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Other Standards: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Control: Git repository with strict .gitignore for Unity temporary files (Library/, Temp/, Logs/).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Serialization: Use JSON (JsonUtility or Newtonsoft.Json) for storing player progression, unlocked evidence flags, and puzzle state locally.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Safety: Always check null or use null-conditional operators (?.) before calling component references to prevent NullReferenceException at runtime.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29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Tấn Lộc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Hồng Sơn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