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6"/>
          <w:szCs w:val="26"/>
        </w:rPr>
        <w:t xml:space="preserve">FIRST AMENDMENT TO THE SUBSCRIPTION AGREEMENT</w:t>
      </w:r>
    </w:p>
    <w:p>
      <w:pPr>
        <w:spacing w:after="200" w:before="0"/>
        <w:jc w:val="center"/>
      </w:pPr>
      <w:r>
        <w:rPr>
          <w:rFonts w:ascii="Times New Roman" w:cs="Times New Roman" w:eastAsia="Times New Roman" w:hAnsi="Times New Roman"/>
          <w:i/>
          <w:iCs/>
          <w:sz w:val="16"/>
          <w:szCs w:val="16"/>
        </w:rPr>
        <w:t xml:space="preserve">Synthetic demonstration document: a fictional fund and fictional terms, not an offer of securities and not legal advice.</w:t>
      </w:r>
    </w:p>
    <w:p>
      <w:pPr>
        <w:spacing w:after="90" w:before="0"/>
      </w:pPr>
      <w:r>
        <w:rPr>
          <w:rFonts w:ascii="Times New Roman" w:cs="Times New Roman" w:eastAsia="Times New Roman" w:hAnsi="Times New Roman"/>
          <w:sz w:val="18"/>
          <w:szCs w:val="18"/>
        </w:rPr>
        <w:t xml:space="preserve">This First Amendment (the "Amendment") amends the subscription agreement between Harborline Ventures Fund IV, L.P. (the "Partnership") and the investor named on the signature page (the "Investor") dated 1 March 2025 (the "Original Agreement"). Terms defined in the Original Agreement have the same meaning here.</w:t>
      </w:r>
    </w:p>
    <w:p>
      <w:pPr>
        <w:keepNext/>
        <w:spacing w:after="60" w:before="140"/>
      </w:pPr>
      <w:r>
        <w:rPr>
          <w:rFonts w:ascii="Times New Roman" w:cs="Times New Roman" w:eastAsia="Times New Roman" w:hAnsi="Times New Roman"/>
          <w:b/>
          <w:bCs/>
          <w:sz w:val="19"/>
          <w:szCs w:val="19"/>
        </w:rPr>
        <w:t xml:space="preserve">1. Definitions</w:t>
      </w:r>
    </w:p>
    <w:p>
      <w:pPr>
        <w:spacing w:after="90" w:before="0"/>
      </w:pPr>
      <w:r>
        <w:rPr>
          <w:rFonts w:ascii="Times New Roman" w:cs="Times New Roman" w:eastAsia="Times New Roman" w:hAnsi="Times New Roman"/>
          <w:sz w:val="18"/>
          <w:szCs w:val="18"/>
        </w:rPr>
        <w:t xml:space="preserve">"Closing Date" means the date on which the General Partner accepts the Investor's subscription. "Business Day" means a day on which banks in New York are open. "Capital Call Notice" means a written notice from the General Partner requesting a capital contribution. "General Partner" means Harborline GP IV, LLC.</w:t>
      </w:r>
    </w:p>
    <w:p>
      <w:pPr>
        <w:keepNext/>
        <w:spacing w:after="60" w:before="140"/>
      </w:pPr>
      <w:r>
        <w:rPr>
          <w:rFonts w:ascii="Times New Roman" w:cs="Times New Roman" w:eastAsia="Times New Roman" w:hAnsi="Times New Roman"/>
          <w:b/>
          <w:bCs/>
          <w:sz w:val="19"/>
          <w:szCs w:val="19"/>
        </w:rPr>
        <w:t xml:space="preserve">2. Capital Contributions</w:t>
      </w:r>
    </w:p>
    <w:p>
      <w:pPr>
        <w:spacing w:after="90" w:before="0"/>
      </w:pPr>
      <w:r>
        <w:rPr>
          <w:rFonts w:ascii="Times New Roman" w:cs="Times New Roman" w:eastAsia="Times New Roman" w:hAnsi="Times New Roman"/>
          <w:sz w:val="18"/>
          <w:szCs w:val="18"/>
        </w:rPr>
        <w:t xml:space="preserve">The Investor shall fund each capital call within ten (10) Business Days after receipt of a Capital Call Notice.</w:t>
      </w:r>
    </w:p>
    <w:p>
      <w:pPr>
        <w:spacing w:after="90" w:before="0"/>
      </w:pPr>
      <w:r>
        <w:rPr>
          <w:rFonts w:ascii="Times New Roman" w:cs="Times New Roman" w:eastAsia="Times New Roman" w:hAnsi="Times New Roman"/>
          <w:sz w:val="18"/>
          <w:szCs w:val="18"/>
        </w:rPr>
        <w:t xml:space="preserve">Capital contributions are made by wire transfer in U.S. dollars to the account named in the Capital Call Notice.</w:t>
      </w:r>
    </w:p>
    <w:p>
      <w:pPr>
        <w:keepNext/>
        <w:spacing w:after="60" w:before="140"/>
      </w:pPr>
      <w:r>
        <w:rPr>
          <w:rFonts w:ascii="Times New Roman" w:cs="Times New Roman" w:eastAsia="Times New Roman" w:hAnsi="Times New Roman"/>
          <w:b/>
          <w:bCs/>
          <w:sz w:val="19"/>
          <w:szCs w:val="19"/>
        </w:rPr>
        <w:t xml:space="preserve">3. Subscription Fee</w:t>
      </w:r>
    </w:p>
    <w:p>
      <w:pPr>
        <w:spacing w:after="90" w:before="0"/>
      </w:pPr>
      <w:r>
        <w:rPr>
          <w:rFonts w:ascii="Times New Roman" w:cs="Times New Roman" w:eastAsia="Times New Roman" w:hAnsi="Times New Roman"/>
          <w:sz w:val="18"/>
          <w:szCs w:val="18"/>
        </w:rPr>
        <w:t xml:space="preserve">The Investor shall pay a subscription fee of USD 25,000 upon the Closing Date.</w:t>
      </w:r>
    </w:p>
    <w:p>
      <w:pPr>
        <w:spacing w:after="90" w:before="0"/>
      </w:pPr>
      <w:r>
        <w:rPr>
          <w:rFonts w:ascii="Times New Roman" w:cs="Times New Roman" w:eastAsia="Times New Roman" w:hAnsi="Times New Roman"/>
          <w:sz w:val="18"/>
          <w:szCs w:val="18"/>
        </w:rPr>
        <w:t xml:space="preserve">The fee compensates the Partnership for legal and administrative costs of admitting the Investor.</w:t>
      </w:r>
    </w:p>
    <w:p>
      <w:pPr>
        <w:keepNext/>
        <w:spacing w:after="60" w:before="140"/>
      </w:pPr>
      <w:r>
        <w:rPr>
          <w:rFonts w:ascii="Times New Roman" w:cs="Times New Roman" w:eastAsia="Times New Roman" w:hAnsi="Times New Roman"/>
          <w:b/>
          <w:bCs/>
          <w:sz w:val="19"/>
          <w:szCs w:val="19"/>
        </w:rPr>
        <w:t xml:space="preserve">4. Admission of Investors</w:t>
      </w:r>
    </w:p>
    <w:p>
      <w:pPr>
        <w:spacing w:after="90" w:before="0"/>
      </w:pPr>
      <w:r>
        <w:rPr>
          <w:rFonts w:ascii="Times New Roman" w:cs="Times New Roman" w:eastAsia="Times New Roman" w:hAnsi="Times New Roman"/>
          <w:sz w:val="18"/>
          <w:szCs w:val="18"/>
        </w:rPr>
        <w:t xml:space="preserve">Each new investor is admitted on the date the General Partner countersigns its subscription documents, and the register of partners is updated within one week.</w:t>
      </w:r>
    </w:p>
    <w:p>
      <w:pPr>
        <w:spacing w:after="90" w:before="0"/>
      </w:pPr>
      <w:r>
        <w:rPr>
          <w:rFonts w:ascii="Times New Roman" w:cs="Times New Roman" w:eastAsia="Times New Roman" w:hAnsi="Times New Roman"/>
          <w:sz w:val="18"/>
          <w:szCs w:val="18"/>
        </w:rPr>
        <w:t xml:space="preserve">The provisions of this Section 4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4,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5. Investment Period</w:t>
      </w:r>
    </w:p>
    <w:p>
      <w:pPr>
        <w:spacing w:after="90" w:before="0"/>
      </w:pPr>
      <w:r>
        <w:rPr>
          <w:rFonts w:ascii="Times New Roman" w:cs="Times New Roman" w:eastAsia="Times New Roman" w:hAnsi="Times New Roman"/>
          <w:sz w:val="18"/>
          <w:szCs w:val="18"/>
        </w:rPr>
        <w:t xml:space="preserve">The investment period begins on the first closing and ends on the fifth anniversary of that date, unless the limited partners agree in writing to end it earlier.</w:t>
      </w:r>
    </w:p>
    <w:p>
      <w:pPr>
        <w:spacing w:after="90" w:before="0"/>
      </w:pPr>
      <w:r>
        <w:rPr>
          <w:rFonts w:ascii="Times New Roman" w:cs="Times New Roman" w:eastAsia="Times New Roman" w:hAnsi="Times New Roman"/>
          <w:sz w:val="18"/>
          <w:szCs w:val="18"/>
        </w:rPr>
        <w:t xml:space="preserve">The provisions of this Section 5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5,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6. Follow-on Investments</w:t>
      </w:r>
    </w:p>
    <w:p>
      <w:pPr>
        <w:spacing w:after="90" w:before="0"/>
      </w:pPr>
      <w:r>
        <w:rPr>
          <w:rFonts w:ascii="Times New Roman" w:cs="Times New Roman" w:eastAsia="Times New Roman" w:hAnsi="Times New Roman"/>
          <w:sz w:val="18"/>
          <w:szCs w:val="18"/>
        </w:rPr>
        <w:t xml:space="preserve">After the investment period, the Partnership may invest only in companies it already holds, and only up to fifteen percent of total commitments in aggregate.</w:t>
      </w:r>
    </w:p>
    <w:p>
      <w:pPr>
        <w:spacing w:after="90" w:before="0"/>
      </w:pPr>
      <w:r>
        <w:rPr>
          <w:rFonts w:ascii="Times New Roman" w:cs="Times New Roman" w:eastAsia="Times New Roman" w:hAnsi="Times New Roman"/>
          <w:sz w:val="18"/>
          <w:szCs w:val="18"/>
        </w:rPr>
        <w:t xml:space="preserve">The provisions of this Section 6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6,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7. Diversification Limits</w:t>
      </w:r>
    </w:p>
    <w:p>
      <w:pPr>
        <w:spacing w:after="90" w:before="0"/>
      </w:pPr>
      <w:r>
        <w:rPr>
          <w:rFonts w:ascii="Times New Roman" w:cs="Times New Roman" w:eastAsia="Times New Roman" w:hAnsi="Times New Roman"/>
          <w:sz w:val="18"/>
          <w:szCs w:val="18"/>
        </w:rPr>
        <w:t xml:space="preserve">No single portfolio company may receive more than twenty percent of total commitments, measured at the time of each investment.</w:t>
      </w:r>
    </w:p>
    <w:p>
      <w:pPr>
        <w:spacing w:after="90" w:before="0"/>
      </w:pPr>
      <w:r>
        <w:rPr>
          <w:rFonts w:ascii="Times New Roman" w:cs="Times New Roman" w:eastAsia="Times New Roman" w:hAnsi="Times New Roman"/>
          <w:sz w:val="18"/>
          <w:szCs w:val="18"/>
        </w:rPr>
        <w:t xml:space="preserve">The provisions of this Section 7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7,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8. Borrowing</w:t>
      </w:r>
    </w:p>
    <w:p>
      <w:pPr>
        <w:spacing w:after="90" w:before="0"/>
      </w:pPr>
      <w:r>
        <w:rPr>
          <w:rFonts w:ascii="Times New Roman" w:cs="Times New Roman" w:eastAsia="Times New Roman" w:hAnsi="Times New Roman"/>
          <w:sz w:val="18"/>
          <w:szCs w:val="18"/>
        </w:rPr>
        <w:t xml:space="preserve">The Partnership may borrow against uncalled commitments for up to one year to bridge capital calls, and the total borrowed may not exceed twenty-five percent of commitments.</w:t>
      </w:r>
    </w:p>
    <w:p>
      <w:pPr>
        <w:spacing w:after="90" w:before="0"/>
      </w:pPr>
      <w:r>
        <w:rPr>
          <w:rFonts w:ascii="Times New Roman" w:cs="Times New Roman" w:eastAsia="Times New Roman" w:hAnsi="Times New Roman"/>
          <w:sz w:val="18"/>
          <w:szCs w:val="18"/>
        </w:rPr>
        <w:t xml:space="preserve">The provisions of this Section 8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8,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9. Distributions in Kind</w:t>
      </w:r>
    </w:p>
    <w:p>
      <w:pPr>
        <w:spacing w:after="90" w:before="0"/>
      </w:pPr>
      <w:r>
        <w:rPr>
          <w:rFonts w:ascii="Times New Roman" w:cs="Times New Roman" w:eastAsia="Times New Roman" w:hAnsi="Times New Roman"/>
          <w:sz w:val="18"/>
          <w:szCs w:val="18"/>
        </w:rPr>
        <w:t xml:space="preserve">Securities distributed in kind are valued at the closing price on the day before distribution, and investors may ask the General Partner to sell them on their behalf.</w:t>
      </w:r>
    </w:p>
    <w:p>
      <w:pPr>
        <w:spacing w:after="90" w:before="0"/>
      </w:pPr>
      <w:r>
        <w:rPr>
          <w:rFonts w:ascii="Times New Roman" w:cs="Times New Roman" w:eastAsia="Times New Roman" w:hAnsi="Times New Roman"/>
          <w:sz w:val="18"/>
          <w:szCs w:val="18"/>
        </w:rPr>
        <w:t xml:space="preserve">The provisions of this Section 9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9,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10. Advisory Committee</w:t>
      </w:r>
    </w:p>
    <w:p>
      <w:pPr>
        <w:spacing w:after="90" w:before="0"/>
      </w:pPr>
      <w:r>
        <w:rPr>
          <w:rFonts w:ascii="Times New Roman" w:cs="Times New Roman" w:eastAsia="Times New Roman" w:hAnsi="Times New Roman"/>
          <w:sz w:val="18"/>
          <w:szCs w:val="18"/>
        </w:rPr>
        <w:t xml:space="preserve">The advisory committee has between three and seven members chosen from the limited partners and reviews conflicts of interest presented by the General Partner.</w:t>
      </w:r>
    </w:p>
    <w:p>
      <w:pPr>
        <w:spacing w:after="90" w:before="0"/>
      </w:pPr>
      <w:r>
        <w:rPr>
          <w:rFonts w:ascii="Times New Roman" w:cs="Times New Roman" w:eastAsia="Times New Roman" w:hAnsi="Times New Roman"/>
          <w:sz w:val="18"/>
          <w:szCs w:val="18"/>
        </w:rPr>
        <w:t xml:space="preserve">The provisions of this Section 10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10,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11. Conflicts of Interest</w:t>
      </w:r>
    </w:p>
    <w:p>
      <w:pPr>
        <w:spacing w:after="90" w:before="0"/>
      </w:pPr>
      <w:r>
        <w:rPr>
          <w:rFonts w:ascii="Times New Roman" w:cs="Times New Roman" w:eastAsia="Times New Roman" w:hAnsi="Times New Roman"/>
          <w:sz w:val="18"/>
          <w:szCs w:val="18"/>
        </w:rPr>
        <w:t xml:space="preserve">Transactions between the Partnership and any affiliate of the General Partner need the prior approval of the advisory committee.</w:t>
      </w:r>
    </w:p>
    <w:p>
      <w:pPr>
        <w:spacing w:after="90" w:before="0"/>
      </w:pPr>
      <w:r>
        <w:rPr>
          <w:rFonts w:ascii="Times New Roman" w:cs="Times New Roman" w:eastAsia="Times New Roman" w:hAnsi="Times New Roman"/>
          <w:sz w:val="18"/>
          <w:szCs w:val="18"/>
        </w:rPr>
        <w:t xml:space="preserve">The provisions of this Section 11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11, and nothing here changes the rights of investors that were admitted before the Closing Date unless they agree in writing.</w:t>
      </w:r>
    </w:p>
    <w:p>
      <w:pPr>
        <w:spacing w:after="90" w:before="0"/>
      </w:pPr>
      <w:r>
        <w:rPr>
          <w:rFonts w:ascii="Times New Roman" w:cs="Times New Roman" w:eastAsia="Times New Roman" w:hAnsi="Times New Roman"/>
          <w:sz w:val="18"/>
          <w:szCs w:val="18"/>
        </w:rPr>
        <w:t xml:space="preserve">The Investor shall pay a subscription fee of USD 20,000 upon the Closing Date.</w:t>
      </w:r>
    </w:p>
    <w:p>
      <w:pPr>
        <w:keepNext/>
        <w:spacing w:after="60" w:before="140"/>
      </w:pPr>
      <w:r>
        <w:rPr>
          <w:rFonts w:ascii="Times New Roman" w:cs="Times New Roman" w:eastAsia="Times New Roman" w:hAnsi="Times New Roman"/>
          <w:b/>
          <w:bCs/>
          <w:sz w:val="19"/>
          <w:szCs w:val="19"/>
        </w:rPr>
        <w:t xml:space="preserve">12. Valuation</w:t>
      </w:r>
    </w:p>
    <w:p>
      <w:pPr>
        <w:spacing w:after="90" w:before="0"/>
      </w:pPr>
      <w:r>
        <w:rPr>
          <w:rFonts w:ascii="Times New Roman" w:cs="Times New Roman" w:eastAsia="Times New Roman" w:hAnsi="Times New Roman"/>
          <w:sz w:val="18"/>
          <w:szCs w:val="18"/>
        </w:rPr>
        <w:t xml:space="preserve">Portfolio investments are valued each quarter at fair value under the valuation policy, and the policy is reviewed by the auditors once a year.</w:t>
      </w:r>
    </w:p>
    <w:p>
      <w:pPr>
        <w:spacing w:after="90" w:before="0"/>
      </w:pPr>
      <w:r>
        <w:rPr>
          <w:rFonts w:ascii="Times New Roman" w:cs="Times New Roman" w:eastAsia="Times New Roman" w:hAnsi="Times New Roman"/>
          <w:sz w:val="18"/>
          <w:szCs w:val="18"/>
        </w:rPr>
        <w:t xml:space="preserve">The provisions of this Section 12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12,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13. Tax Matters</w:t>
      </w:r>
    </w:p>
    <w:p>
      <w:pPr>
        <w:spacing w:after="90" w:before="0"/>
      </w:pPr>
      <w:r>
        <w:rPr>
          <w:rFonts w:ascii="Times New Roman" w:cs="Times New Roman" w:eastAsia="Times New Roman" w:hAnsi="Times New Roman"/>
          <w:sz w:val="18"/>
          <w:szCs w:val="18"/>
        </w:rPr>
        <w:t xml:space="preserve">The General Partner acts as the partnership representative for tax purposes and sends each investor its tax statement within ninety days after the end of the fiscal year.</w:t>
      </w:r>
    </w:p>
    <w:p>
      <w:pPr>
        <w:spacing w:after="90" w:before="0"/>
      </w:pPr>
      <w:r>
        <w:rPr>
          <w:rFonts w:ascii="Times New Roman" w:cs="Times New Roman" w:eastAsia="Times New Roman" w:hAnsi="Times New Roman"/>
          <w:sz w:val="18"/>
          <w:szCs w:val="18"/>
        </w:rPr>
        <w:t xml:space="preserve">The provisions of this Section 13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13,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14. Investor Reporting</w:t>
      </w:r>
    </w:p>
    <w:p>
      <w:pPr>
        <w:spacing w:after="90" w:before="0"/>
      </w:pPr>
      <w:r>
        <w:rPr>
          <w:rFonts w:ascii="Times New Roman" w:cs="Times New Roman" w:eastAsia="Times New Roman" w:hAnsi="Times New Roman"/>
          <w:sz w:val="18"/>
          <w:szCs w:val="18"/>
        </w:rPr>
        <w:t xml:space="preserve">Investors receive unaudited quarterly reports and audited annual financial statements, together with a schedule of fees and expenses charged to the Partnership.</w:t>
      </w:r>
    </w:p>
    <w:p>
      <w:pPr>
        <w:spacing w:after="90" w:before="0"/>
      </w:pPr>
      <w:r>
        <w:rPr>
          <w:rFonts w:ascii="Times New Roman" w:cs="Times New Roman" w:eastAsia="Times New Roman" w:hAnsi="Times New Roman"/>
          <w:sz w:val="18"/>
          <w:szCs w:val="18"/>
        </w:rPr>
        <w:t xml:space="preserve">The provisions of this Section 14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14,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15. Key Person</w:t>
      </w:r>
    </w:p>
    <w:p>
      <w:pPr>
        <w:spacing w:after="90" w:before="0"/>
      </w:pPr>
      <w:r>
        <w:rPr>
          <w:rFonts w:ascii="Times New Roman" w:cs="Times New Roman" w:eastAsia="Times New Roman" w:hAnsi="Times New Roman"/>
          <w:sz w:val="18"/>
          <w:szCs w:val="18"/>
        </w:rPr>
        <w:t xml:space="preserve">If the Key Person Event occurs, the investment period is suspended until the limited partners vote to continue it or to end it.</w:t>
      </w:r>
    </w:p>
    <w:p>
      <w:pPr>
        <w:spacing w:after="90" w:before="0"/>
      </w:pPr>
      <w:r>
        <w:rPr>
          <w:rFonts w:ascii="Times New Roman" w:cs="Times New Roman" w:eastAsia="Times New Roman" w:hAnsi="Times New Roman"/>
          <w:sz w:val="18"/>
          <w:szCs w:val="18"/>
        </w:rPr>
        <w:t xml:space="preserve">The provisions of this Section 15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15,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16. Removal of the General Partner</w:t>
      </w:r>
    </w:p>
    <w:p>
      <w:pPr>
        <w:spacing w:after="90" w:before="0"/>
      </w:pPr>
      <w:r>
        <w:rPr>
          <w:rFonts w:ascii="Times New Roman" w:cs="Times New Roman" w:eastAsia="Times New Roman" w:hAnsi="Times New Roman"/>
          <w:sz w:val="18"/>
          <w:szCs w:val="18"/>
        </w:rPr>
        <w:t xml:space="preserve">Limited partners holding at least seventy-five percent of interests may remove the General Partner for cause after written notice and a chance to cure.</w:t>
      </w:r>
    </w:p>
    <w:p>
      <w:pPr>
        <w:spacing w:after="90" w:before="0"/>
      </w:pPr>
      <w:r>
        <w:rPr>
          <w:rFonts w:ascii="Times New Roman" w:cs="Times New Roman" w:eastAsia="Times New Roman" w:hAnsi="Times New Roman"/>
          <w:sz w:val="18"/>
          <w:szCs w:val="18"/>
        </w:rPr>
        <w:t xml:space="preserve">The provisions of this Section 16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16, and nothing here changes the rights of investors that were admitted before the Closing Date unless they agree in writing.</w:t>
      </w:r>
    </w:p>
    <w:p>
      <w:pPr>
        <w:spacing w:after="90" w:before="0"/>
      </w:pPr>
      <w:r>
        <w:rPr>
          <w:rFonts w:ascii="Times New Roman" w:cs="Times New Roman" w:eastAsia="Times New Roman" w:hAnsi="Times New Roman"/>
          <w:sz w:val="18"/>
          <w:szCs w:val="18"/>
        </w:rPr>
        <w:t xml:space="preserve">The Investor shall fund each capital call within fifteen (15) Business Days after receipt of a Capital Call Notice.</w:t>
      </w:r>
    </w:p>
    <w:p>
      <w:pPr>
        <w:keepNext/>
        <w:spacing w:after="60" w:before="140"/>
      </w:pPr>
      <w:r>
        <w:rPr>
          <w:rFonts w:ascii="Times New Roman" w:cs="Times New Roman" w:eastAsia="Times New Roman" w:hAnsi="Times New Roman"/>
          <w:b/>
          <w:bCs/>
          <w:sz w:val="19"/>
          <w:szCs w:val="19"/>
        </w:rPr>
        <w:t xml:space="preserve">17. Indemnification</w:t>
      </w:r>
    </w:p>
    <w:p>
      <w:pPr>
        <w:spacing w:after="90" w:before="0"/>
      </w:pPr>
      <w:r>
        <w:rPr>
          <w:rFonts w:ascii="Times New Roman" w:cs="Times New Roman" w:eastAsia="Times New Roman" w:hAnsi="Times New Roman"/>
          <w:sz w:val="18"/>
          <w:szCs w:val="18"/>
        </w:rPr>
        <w:t xml:space="preserve">The Partnership indemnifies the General Partner against losses arising from its activities on behalf of the Partnership, except losses caused by fraud or wilful misconduct.</w:t>
      </w:r>
    </w:p>
    <w:p>
      <w:pPr>
        <w:spacing w:after="90" w:before="0"/>
      </w:pPr>
      <w:r>
        <w:rPr>
          <w:rFonts w:ascii="Times New Roman" w:cs="Times New Roman" w:eastAsia="Times New Roman" w:hAnsi="Times New Roman"/>
          <w:sz w:val="18"/>
          <w:szCs w:val="18"/>
        </w:rPr>
        <w:t xml:space="preserve">The provisions of this Section 17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17,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18. Confidentiality</w:t>
      </w:r>
    </w:p>
    <w:p>
      <w:pPr>
        <w:spacing w:after="90" w:before="0"/>
      </w:pPr>
      <w:r>
        <w:rPr>
          <w:rFonts w:ascii="Times New Roman" w:cs="Times New Roman" w:eastAsia="Times New Roman" w:hAnsi="Times New Roman"/>
          <w:sz w:val="18"/>
          <w:szCs w:val="18"/>
        </w:rPr>
        <w:t xml:space="preserve">Investors keep information about portfolio companies confidential and may share it only with their own advisers who are bound by similar duties.</w:t>
      </w:r>
    </w:p>
    <w:p>
      <w:pPr>
        <w:spacing w:after="90" w:before="0"/>
      </w:pPr>
      <w:r>
        <w:rPr>
          <w:rFonts w:ascii="Times New Roman" w:cs="Times New Roman" w:eastAsia="Times New Roman" w:hAnsi="Times New Roman"/>
          <w:sz w:val="18"/>
          <w:szCs w:val="18"/>
        </w:rPr>
        <w:t xml:space="preserve">The provisions of this Section 18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18,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19. Side Letters</w:t>
      </w:r>
    </w:p>
    <w:p>
      <w:pPr>
        <w:spacing w:after="90" w:before="0"/>
      </w:pPr>
      <w:r>
        <w:rPr>
          <w:rFonts w:ascii="Times New Roman" w:cs="Times New Roman" w:eastAsia="Times New Roman" w:hAnsi="Times New Roman"/>
          <w:sz w:val="18"/>
          <w:szCs w:val="18"/>
        </w:rPr>
        <w:t xml:space="preserve">The General Partner discloses every side letter to all investors within sixty days after the final closing, and investors may elect most-favoured-nation treatment as set out in Schedule 3.</w:t>
      </w:r>
    </w:p>
    <w:p>
      <w:pPr>
        <w:spacing w:after="90" w:before="0"/>
      </w:pPr>
      <w:r>
        <w:rPr>
          <w:rFonts w:ascii="Times New Roman" w:cs="Times New Roman" w:eastAsia="Times New Roman" w:hAnsi="Times New Roman"/>
          <w:sz w:val="18"/>
          <w:szCs w:val="18"/>
        </w:rPr>
        <w:t xml:space="preserve">The provisions of this Section 19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19,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20. Anti-Money Laundering</w:t>
      </w:r>
    </w:p>
    <w:p>
      <w:pPr>
        <w:spacing w:after="90" w:before="0"/>
      </w:pPr>
      <w:r>
        <w:rPr>
          <w:rFonts w:ascii="Times New Roman" w:cs="Times New Roman" w:eastAsia="Times New Roman" w:hAnsi="Times New Roman"/>
          <w:sz w:val="18"/>
          <w:szCs w:val="18"/>
        </w:rPr>
        <w:t xml:space="preserve">Each investor provides the documents needed to verify its identity and source of funds before it is admitted, and updates them when its circumstances change.</w:t>
      </w:r>
    </w:p>
    <w:p>
      <w:pPr>
        <w:spacing w:after="90" w:before="0"/>
      </w:pPr>
      <w:r>
        <w:rPr>
          <w:rFonts w:ascii="Times New Roman" w:cs="Times New Roman" w:eastAsia="Times New Roman" w:hAnsi="Times New Roman"/>
          <w:sz w:val="18"/>
          <w:szCs w:val="18"/>
        </w:rPr>
        <w:t xml:space="preserve">The provisions of this Section 20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20, and nothing here changes the rights of investors that were admitted before the Closing Date unless they agree in writing.</w:t>
      </w:r>
    </w:p>
    <w:p>
      <w:pPr>
        <w:spacing w:after="90" w:before="0"/>
      </w:pPr>
      <w:r>
        <w:rPr>
          <w:rFonts w:ascii="Times New Roman" w:cs="Times New Roman" w:eastAsia="Times New Roman" w:hAnsi="Times New Roman"/>
          <w:sz w:val="18"/>
          <w:szCs w:val="18"/>
        </w:rPr>
        <w:t xml:space="preserve">The General Partner will make every effort to accomodate reasonable requests from investors for additional reporting.</w:t>
      </w:r>
    </w:p>
    <w:p>
      <w:pPr>
        <w:keepNext/>
        <w:spacing w:after="60" w:before="140"/>
      </w:pPr>
      <w:r>
        <w:rPr>
          <w:rFonts w:ascii="Times New Roman" w:cs="Times New Roman" w:eastAsia="Times New Roman" w:hAnsi="Times New Roman"/>
          <w:b/>
          <w:bCs/>
          <w:sz w:val="19"/>
          <w:szCs w:val="19"/>
        </w:rPr>
        <w:t xml:space="preserve">21. Data Protection</w:t>
      </w:r>
    </w:p>
    <w:p>
      <w:pPr>
        <w:spacing w:after="90" w:before="0"/>
      </w:pPr>
      <w:r>
        <w:rPr>
          <w:rFonts w:ascii="Times New Roman" w:cs="Times New Roman" w:eastAsia="Times New Roman" w:hAnsi="Times New Roman"/>
          <w:sz w:val="18"/>
          <w:szCs w:val="18"/>
        </w:rPr>
        <w:t xml:space="preserve">Personal data supplied by investors is processed only to administer the Partnership and to comply with law, and is kept for no longer than required.</w:t>
      </w:r>
    </w:p>
    <w:p>
      <w:pPr>
        <w:spacing w:after="90" w:before="0"/>
      </w:pPr>
      <w:r>
        <w:rPr>
          <w:rFonts w:ascii="Times New Roman" w:cs="Times New Roman" w:eastAsia="Times New Roman" w:hAnsi="Times New Roman"/>
          <w:sz w:val="18"/>
          <w:szCs w:val="18"/>
        </w:rPr>
        <w:t xml:space="preserve">The provisions of this Section 21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21,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22. Term of the Partnership</w:t>
      </w:r>
    </w:p>
    <w:p>
      <w:pPr>
        <w:spacing w:after="90" w:before="0"/>
      </w:pPr>
      <w:r>
        <w:rPr>
          <w:rFonts w:ascii="Times New Roman" w:cs="Times New Roman" w:eastAsia="Times New Roman" w:hAnsi="Times New Roman"/>
          <w:sz w:val="18"/>
          <w:szCs w:val="18"/>
        </w:rPr>
        <w:t xml:space="preserve">The Partnership ends ten years after the first closing, subject to two extensions of one year each with the consent of the advisory committee.</w:t>
      </w:r>
    </w:p>
    <w:p>
      <w:pPr>
        <w:spacing w:after="90" w:before="0"/>
      </w:pPr>
      <w:r>
        <w:rPr>
          <w:rFonts w:ascii="Times New Roman" w:cs="Times New Roman" w:eastAsia="Times New Roman" w:hAnsi="Times New Roman"/>
          <w:sz w:val="18"/>
          <w:szCs w:val="18"/>
        </w:rPr>
        <w:t xml:space="preserve">The provisions of this Section 22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22,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23. Liquidation</w:t>
      </w:r>
    </w:p>
    <w:p>
      <w:pPr>
        <w:spacing w:after="90" w:before="0"/>
      </w:pPr>
      <w:r>
        <w:rPr>
          <w:rFonts w:ascii="Times New Roman" w:cs="Times New Roman" w:eastAsia="Times New Roman" w:hAnsi="Times New Roman"/>
          <w:sz w:val="18"/>
          <w:szCs w:val="18"/>
        </w:rPr>
        <w:t xml:space="preserve">On dissolution the General Partner sells or distributes the remaining assets and applies the proceeds first to creditors and then to the partners.</w:t>
      </w:r>
    </w:p>
    <w:p>
      <w:pPr>
        <w:spacing w:after="90" w:before="0"/>
      </w:pPr>
      <w:r>
        <w:rPr>
          <w:rFonts w:ascii="Times New Roman" w:cs="Times New Roman" w:eastAsia="Times New Roman" w:hAnsi="Times New Roman"/>
          <w:sz w:val="18"/>
          <w:szCs w:val="18"/>
        </w:rPr>
        <w:t xml:space="preserve">The provisions of this Section 23 apply from the Closing Date. Any question about how they apply to a particular investor is resolved by the General Partner after consulting the advisory committee, and the General Partner records the outcome in the minutes of the next committee meeting. The Original Agreement otherwise continues in full force for matters covered by this Section 23, and nothing here changes the rights of investors that were admitted before the Closing Date unless they agree in writing.</w:t>
      </w:r>
    </w:p>
    <w:p>
      <w:pPr>
        <w:keepNext/>
        <w:spacing w:after="60" w:before="140"/>
      </w:pPr>
      <w:r>
        <w:rPr>
          <w:rFonts w:ascii="Times New Roman" w:cs="Times New Roman" w:eastAsia="Times New Roman" w:hAnsi="Times New Roman"/>
          <w:b/>
          <w:bCs/>
          <w:sz w:val="19"/>
          <w:szCs w:val="19"/>
        </w:rPr>
        <w:t xml:space="preserve">24. Effect of Amendment</w:t>
      </w:r>
    </w:p>
    <w:p>
      <w:pPr>
        <w:spacing w:after="90" w:before="0"/>
      </w:pPr>
      <w:r>
        <w:rPr>
          <w:rFonts w:ascii="Times New Roman" w:cs="Times New Roman" w:eastAsia="Times New Roman" w:hAnsi="Times New Roman"/>
          <w:sz w:val="18"/>
          <w:szCs w:val="18"/>
        </w:rPr>
        <w:t xml:space="preserve">Except as amended here, the Original Agreement remains in effect. This Amendment may be signed in counterparts.</w:t>
      </w:r>
    </w:p>
    <w:sectPr>
      <w:footerReference w:type="default" r:id="rId6"/>
      <w:pgSz w:w="11906" w:h="16838" w:orient="portrait"/>
      <w:pgMar w:top="1440" w:right="1440" w:bottom="1440" w:left="1440" w:header="708" w:footer="708" w:gutter="0"/>
      <w:pgNumType/>
      <w:cols w:space="50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Harborline IV First Amendment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Harborline IV First Amendment</dc:title>
  <dc:creator>Anduin Legal Reviewer synthetic demo</dc:creator>
  <cp:lastModifiedBy>Un-named</cp:lastModifiedBy>
  <cp:revision>1</cp:revision>
  <dcterms:created xsi:type="dcterms:W3CDTF">2026-10-16T15:39:10.425Z</dcterms:created>
  <dcterms:modified xsi:type="dcterms:W3CDTF">2026-10-16T15:39:10.425Z</dcterms:modified>
</cp:coreProperties>
</file>

<file path=docProps/custom.xml><?xml version="1.0" encoding="utf-8"?>
<Properties xmlns="http://schemas.openxmlformats.org/officeDocument/2006/custom-properties" xmlns:vt="http://schemas.openxmlformats.org/officeDocument/2006/docPropsVTypes"/>
</file>