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Дата обновления материала: 27.07.2026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Если собственник продает имущество до истечения минимального срока владения, он обязан уплатить налог на доходы (НДФЛ). В данной статье разберемся, в каких случаях уплата налога является обязательной, а когда продавец и вовсе может быть освобожден от его уплаты. Также рассмотрим региональные особенности и возможность снижения размера НДФЛ.</w:t>
      </w:r>
    </w:p>
    <w:p w:rsidR="00000000" w:rsidDel="00000000" w:rsidP="00000000" w:rsidRDefault="00000000" w:rsidRPr="00000000" w14:paraId="00000004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Содержание статьи:</w:t>
      </w:r>
    </w:p>
    <w:sdt>
      <w:sdtPr>
        <w:id w:val="5810139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1j8tf5seasxx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Что такое минимальный срок владения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3ul08dopyi2t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С какого момента рассчитывается минимальный срок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6uecfkn7nr48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Как рассчитывается налог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ohn5oqb8xh8t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Когда платить налог не нужно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1j8tf5seasxx" w:id="0"/>
      <w:bookmarkEnd w:id="0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Что такое минимальный срок владения </w:t>
      </w:r>
    </w:p>
    <w:p w:rsidR="00000000" w:rsidDel="00000000" w:rsidP="00000000" w:rsidRDefault="00000000" w:rsidRPr="00000000" w14:paraId="0000000C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Минимальный срок владения объектом - это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установленный налоговым законодательством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период, по истечение которого, собственнику при продаже имущества не придется платить налог.</w:t>
      </w:r>
    </w:p>
    <w:p w:rsidR="00000000" w:rsidDel="00000000" w:rsidP="00000000" w:rsidRDefault="00000000" w:rsidRPr="00000000" w14:paraId="0000000D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 общему правилу минимальный срок владения составляет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5 лет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Сокращенный срок в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3 года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предусмотрен законом, если право собственности на недвижимое имущество: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получено в порядке наследования;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получено по договору дарения от члена семьи или близкого родственника (к таковым относятся: родители и дети, дедушки, бабушки и внуки, а также полнородные и неполнородные братья и сестры);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получено в результате приватизации;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14.18183454545454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получено в результате передачи имущества по договору пожизненного содержания с иждивением;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является единственным жильем владельца-налогоплательщика</w:t>
      </w:r>
    </w:p>
    <w:p w:rsidR="00000000" w:rsidDel="00000000" w:rsidP="00000000" w:rsidRDefault="00000000" w:rsidRPr="00000000" w14:paraId="00000014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 2025 года НДФЛ для налоговых резидентов РФ рассчитывается по прогрессивной шкале (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п. 1.1 ст. 224 НК РФ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если полученный доход не превышает 2,4 млн. рублей - ставка НДФЛ составляет 13%;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к доходу более 2,4 млн. рублей применяется ставка в 15%.</w:t>
      </w:r>
    </w:p>
    <w:p w:rsidR="00000000" w:rsidDel="00000000" w:rsidP="00000000" w:rsidRDefault="00000000" w:rsidRPr="00000000" w14:paraId="00000018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К доходам нерезидентов РФ применяется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ставка 30%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Важно: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Гражданин утрачивает статус налогового резидента РФ, если более 183 дней в течение 12 следующих подряд месяцев находится за пределами РФ (</w:t>
      </w:r>
      <w:hyperlink r:id="rId1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п.2 ст. 207 НК РФ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Подробнее о сроках и способах подачи декларации, читайте в алгоритме: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Процедура уплаты налога с доходов от продажи недвижимости.</w:t>
      </w:r>
    </w:p>
    <w:p w:rsidR="00000000" w:rsidDel="00000000" w:rsidP="00000000" w:rsidRDefault="00000000" w:rsidRPr="00000000" w14:paraId="0000001E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both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3ul08dopyi2t" w:id="1"/>
      <w:bookmarkEnd w:id="1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 какого момента рассчитывается минимальный срок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rtl w:val="0"/>
        </w:rPr>
        <w:t xml:space="preserve">По общему правилу срок владения недвижимостью исчисляется с даты государственной регистрации права собственности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на объект.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Однако для отдельных ситуаций законодательство устанавливает особый порядок определения момента, с которого начинается отсчет срока.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300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наследовании срок считают со дня смерти наследодателя;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jc w:val="both"/>
        <w:rPr>
          <w:rFonts w:ascii="Helvetica Neue" w:cs="Helvetica Neue" w:eastAsia="Helvetica Neue" w:hAnsi="Helvetica Neue"/>
          <w:color w:val="696969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покупке по договору долевого участия (ДДУ), по договору об участии в жилищно-строительном кооперативе, срок владения исчисляется с даты полной оплаты стоимости такого жилого помещения (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абз. 4 п. 2 ст. 217.1 НК РФ)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before="0" w:lineRule="auto"/>
        <w:ind w:left="720" w:hanging="360"/>
        <w:jc w:val="both"/>
        <w:rPr>
          <w:rFonts w:ascii="Helvetica Neue" w:cs="Helvetica Neue" w:eastAsia="Helvetica Neue" w:hAnsi="Helvetica Neue"/>
          <w:color w:val="696969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d162e"/>
          <w:sz w:val="24"/>
          <w:szCs w:val="24"/>
          <w:highlight w:val="white"/>
          <w:rtl w:val="0"/>
        </w:rPr>
        <w:t xml:space="preserve">для квартир, полученных жителями Москвы по программе реновации минимальный срок владения считается с момента приобретения старой квартиры.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Закон предоставляет субъектам РФ право устанавливать иные минимальные сроки владения. Со списком таких регионов можно ознакомиться </w:t>
      </w:r>
      <w:hyperlink r:id="rId1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jc w:val="both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6uecfkn7nr48" w:id="2"/>
      <w:bookmarkEnd w:id="2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Как рассчитывается налог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before="300" w:lineRule="auto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Шаг 1. Определите доход для расчета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Обычно доходом считается цена, отраженная в договоре купли-продажи, но здесь есть важная оговорка: если цена по договору явно ниже рыночной, налоговая служба будет рассчитывать налог, отталкиваясь от кадастровой стоимости объекта (точкой отсчета для определения налогооблагаемой базы будет являться сумма, составляющая 70% от кадастровой стоимости на 1 января года продажи)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Например, жилье продано за 5 млн. рублей, его стоимость по кадастру — 7 млн. В данной ситуации доход для расчета налога составит 4,9 млн. рублей, а не сумма из договора.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before="300" w:lineRule="auto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Шаг 2. Уменьшите доход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jc w:val="both"/>
        <w:rPr>
          <w:rFonts w:ascii="Helvetica Neue" w:cs="Helvetica Neue" w:eastAsia="Helvetica Neue" w:hAnsi="Helvetica Neue"/>
          <w:color w:val="0f1115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rtl w:val="0"/>
        </w:rPr>
        <w:t xml:space="preserve">После того как доход определен, его можно сократить - это законный способ снизить налог. </w:t>
      </w:r>
      <w:hyperlink r:id="rId1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Закон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rtl w:val="0"/>
        </w:rPr>
        <w:t xml:space="preserve"> предлагает два варианта (на выбор, совмещать их нельзя):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Rule="auto"/>
        <w:ind w:left="720" w:hanging="360"/>
        <w:jc w:val="both"/>
        <w:rPr>
          <w:rFonts w:ascii="Helvetica Neue" w:cs="Helvetica Neue" w:eastAsia="Helvetica Neue" w:hAnsi="Helvetica Neue"/>
          <w:color w:val="0f1115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rtl w:val="0"/>
        </w:rPr>
        <w:t xml:space="preserve">применить фиксированный имущественный вычет в размере 1 млн. рублей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Rule="auto"/>
        <w:ind w:left="720" w:hanging="360"/>
        <w:jc w:val="both"/>
        <w:rPr>
          <w:rFonts w:ascii="Helvetica Neue" w:cs="Helvetica Neue" w:eastAsia="Helvetica Neue" w:hAnsi="Helvetica Neue"/>
          <w:color w:val="0f1115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rtl w:val="0"/>
        </w:rPr>
        <w:t xml:space="preserve">либо вычесть фактически понесенные расходы на приобретение этой недвижимости, но только при наличии подтверждающих документов.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before="300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Выбор способа уменьшения предоставлен продавцу.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f1115"/>
          <w:sz w:val="24"/>
          <w:szCs w:val="24"/>
          <w:rtl w:val="0"/>
        </w:rPr>
        <w:t xml:space="preserve">Важный нюанс: </w:t>
      </w:r>
      <w:r w:rsidDel="00000000" w:rsidR="00000000" w:rsidRPr="00000000">
        <w:rPr>
          <w:rFonts w:ascii="Helvetica Neue" w:cs="Helvetica Neue" w:eastAsia="Helvetica Neue" w:hAnsi="Helvetica Neue"/>
          <w:color w:val="0f1115"/>
          <w:sz w:val="24"/>
          <w:szCs w:val="24"/>
          <w:rtl w:val="0"/>
        </w:rPr>
        <w:t xml:space="preserve">Расходы на приобретение не обязательно должны быть вашими собственными. Если вы получили квартиру по наследству или в дар, то при ее продаже вправе учесть затраты предыдущего владельца. Главное - наличие документов, подтверждающих расходы.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Пример: мать приобрела жилье за 5,5 млн, а затем оформила дарение сыну. Сын продал недвижимость за 6 млн. Если на момент продажи сохранились договор и платежные документы матери, налог можно считать с разницы - 500 тыс. рублей.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before="300" w:lineRule="auto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Шаг 3. Примените ставку НДФЛ</w:t>
      </w:r>
    </w:p>
    <w:p w:rsidR="00000000" w:rsidDel="00000000" w:rsidP="00000000" w:rsidRDefault="00000000" w:rsidRPr="00000000" w14:paraId="00000033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Как уже было упомянуто, в России действует прогрессивная шкала налогообложения к налогам от продажи жилья.</w:t>
      </w:r>
    </w:p>
    <w:p w:rsidR="00000000" w:rsidDel="00000000" w:rsidP="00000000" w:rsidRDefault="00000000" w:rsidRPr="00000000" w14:paraId="00000034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Так, если прибыль с продажи не не превышает 2,4 млн. рублей, ставка будет составлять 13%.</w:t>
        <w:br w:type="textWrapping"/>
        <w:t xml:space="preserve">Если, прибыль превышает указанный размер, налог будет рассчитываться следующим образом:</w:t>
      </w:r>
    </w:p>
    <w:p w:rsidR="00000000" w:rsidDel="00000000" w:rsidP="00000000" w:rsidRDefault="00000000" w:rsidRPr="00000000" w14:paraId="00000036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312 000 (т.е. 13% от 2,4 млн.) + 15% (сумма прибыли - 2,4 млн. рублей).</w:t>
      </w:r>
    </w:p>
    <w:p w:rsidR="00000000" w:rsidDel="00000000" w:rsidP="00000000" w:rsidRDefault="00000000" w:rsidRPr="00000000" w14:paraId="00000037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Пример: Если после вычета налогооблагаемая база составляет 5 млн. рублей, НДФЛ составит 702 тыс. рублей : 312 000 + 15% от (5 млн. - 2,4 млн.).</w:t>
      </w:r>
    </w:p>
    <w:p w:rsidR="00000000" w:rsidDel="00000000" w:rsidP="00000000" w:rsidRDefault="00000000" w:rsidRPr="00000000" w14:paraId="00000039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К нерезидентам применяется ставка 30%, кроме того, таким лицам не доступен стандартный вычет в 1 млн. рублей.</w:t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jc w:val="both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ohn5oqb8xh8t" w:id="3"/>
      <w:bookmarkEnd w:id="3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Когда платить налог не нужно 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180" w:line="360" w:lineRule="auto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Налог при продаже недвижимости не уплачивается, если: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180" w:line="360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истек минимальный срок владения (3 или 5 лет)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жилая недвижимость стоит менее 1 млн рублей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 семье двое и более детей, </w:t>
      </w:r>
      <w:r w:rsidDel="00000000" w:rsidR="00000000" w:rsidRPr="00000000">
        <w:rPr>
          <w:rFonts w:ascii="Helvetica Neue" w:cs="Helvetica Neue" w:eastAsia="Helvetica Neue" w:hAnsi="Helvetica Neue"/>
          <w:color w:val="262626"/>
          <w:sz w:val="24"/>
          <w:szCs w:val="24"/>
          <w:rtl w:val="0"/>
        </w:rPr>
        <w:t xml:space="preserve">если соблюден </w:t>
      </w:r>
      <w:hyperlink r:id="rId1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ряд критериев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262626"/>
          <w:sz w:val="24"/>
          <w:szCs w:val="24"/>
          <w:rtl w:val="0"/>
        </w:rPr>
        <w:t xml:space="preserve"> вне зависимости от срока владения: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62626"/>
          <w:sz w:val="24"/>
          <w:szCs w:val="24"/>
          <w:rtl w:val="0"/>
        </w:rPr>
        <w:t xml:space="preserve">в семье двое и более несовершеннолетних детей, для учащихся очно ограничение по возрасту — до 24 лет;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jc w:val="both"/>
        <w:rPr>
          <w:rFonts w:ascii="Helvetica Neue" w:cs="Helvetica Neue" w:eastAsia="Helvetica Neue" w:hAnsi="Helvetica Neue"/>
          <w:color w:val="262626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62626"/>
          <w:sz w:val="24"/>
          <w:szCs w:val="24"/>
          <w:rtl w:val="0"/>
        </w:rPr>
        <w:t xml:space="preserve">продав жилье, семья в течение того же календарного года покупает другое (или до 30 апреля следующего года);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jc w:val="both"/>
        <w:rPr>
          <w:rFonts w:ascii="Helvetica Neue" w:cs="Helvetica Neue" w:eastAsia="Helvetica Neue" w:hAnsi="Helvetica Neue"/>
          <w:color w:val="262626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62626"/>
          <w:sz w:val="24"/>
          <w:szCs w:val="24"/>
          <w:rtl w:val="0"/>
        </w:rPr>
        <w:t xml:space="preserve">площадь или кадастровая стоимость нового жилья больше, чем проданного;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="360" w:lineRule="auto"/>
        <w:ind w:left="1440" w:hanging="360"/>
        <w:jc w:val="both"/>
        <w:rPr>
          <w:rFonts w:ascii="Helvetica Neue" w:cs="Helvetica Neue" w:eastAsia="Helvetica Neue" w:hAnsi="Helvetica Neue"/>
          <w:color w:val="262626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62626"/>
          <w:sz w:val="24"/>
          <w:szCs w:val="24"/>
          <w:rtl w:val="0"/>
        </w:rPr>
        <w:t xml:space="preserve">кадастровая стоимость жилья, которое продается, не превышает 50 млн рублей.</w:t>
      </w:r>
    </w:p>
    <w:p w:rsidR="00000000" w:rsidDel="00000000" w:rsidP="00000000" w:rsidRDefault="00000000" w:rsidRPr="00000000" w14:paraId="00000045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nsultant.ru/cons/cgi/online.cgi?req=doc&amp;base=LAW&amp;n=537946&amp;cacheid=44431F9AFEBC9CE487BA86D40A6AE740&amp;mode=splus&amp;rnd=E4rafQVmICiwPvKm#AkxefQV7Caw01h8G" TargetMode="External"/><Relationship Id="rId10" Type="http://schemas.openxmlformats.org/officeDocument/2006/relationships/hyperlink" Target="https://www.consultant.ru/cons/cgi/online.cgi?req=doc&amp;base=LAW&amp;n=537946&amp;dst=14124&amp;cacheid=9E086AD9186391684CA69D4FEC91CBAF&amp;mode=splus&amp;rnd=E4rafQVmICiwPvKm#pplefQVyAAcB1RwM1" TargetMode="External"/><Relationship Id="rId13" Type="http://schemas.openxmlformats.org/officeDocument/2006/relationships/hyperlink" Target="https://www.consultant.ru/cons/cgi/online.cgi?req=doc&amp;base=LAW&amp;n=537946&amp;dst=8422&amp;cacheid=5F3FE47607BE1222E7C8BDB4908F22A4&amp;mode=splus&amp;rnd=E4rafQVmICiwPvKm#HdJffQV2BTOwDTwe1" TargetMode="External"/><Relationship Id="rId12" Type="http://schemas.openxmlformats.org/officeDocument/2006/relationships/hyperlink" Target="https://www.consultant.ru/cons/cgi/online.cgi?req=doc&amp;base=LAW&amp;n=415292&amp;cacheid=E520499D06E228D550DE7CECDA9AE109&amp;mode=splus&amp;rnd=E4rafQVmICiwPvKm#4xCffQVoDVp3rum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nsultant.ru/cons/cgi/online.cgi?req=doc&amp;base=LAW&amp;n=537946&amp;dst=5578&amp;cacheid=FAD4BF5AC8257835FA691708E72C9CBF&amp;mode=splus&amp;rnd=E4rafQVmICiwPvKm#rQHefQVFannfbcUA" TargetMode="External"/><Relationship Id="rId14" Type="http://schemas.openxmlformats.org/officeDocument/2006/relationships/hyperlink" Target="https://www.consultant.ru/cons/cgi/online.cgi?req=doc&amp;base=LAW&amp;n=537946&amp;dst=21098&amp;cacheid=78AFE5738F27C37BE8601ED7A895716C&amp;mode=splus&amp;rnd=E4rafQVmICiwPvKm#3gfffQVuIv43f66M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sultant.ru/cons/cgi/online.cgi?req=doc&amp;base=LAW&amp;n=537946&amp;dst=11750&amp;cacheid=5F688EF6A3F1AEF7F9BE0D2DA5B5FE51&amp;mode=splus&amp;rnd=E4rafQVmICiwPvKm#IuedfQV0KZiuppA51" TargetMode="External"/><Relationship Id="rId8" Type="http://schemas.openxmlformats.org/officeDocument/2006/relationships/hyperlink" Target="https://www.consultant.ru/cons/cgi/online.cgi?req=doc&amp;base=LAW&amp;n=537946&amp;dst=26113&amp;cacheid=62E3A1B8C851A0FE3097414909713CA3&amp;mode=splus&amp;rnd=E4rafQVmICiwPvKm#ZT1efQVrIdQuOes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MbMSVZJa3v2LliwvWoeKPJiEhw==">CgMxLjAyDmguMWo4dGY1c2Vhc3h4Mg5oLjN1bDA4ZG9weWkydDIOaC42dWVjZmtuN25yNDgyDmgub2huNW9xYjh4aDh0OAByITFNRFlfdDBlU01wU3MzaF9sNjZWUW1rSHV4N08zNVdiOQ==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