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720090</wp:posOffset>
            </wp:positionH>
            <wp:positionV relativeFrom="paragraph">
              <wp:posOffset>1988185</wp:posOffset>
            </wp:positionV>
            <wp:extent cx="6332220" cy="55086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1: Relative frequency of personal crimes by year.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2348230</wp:posOffset>
            </wp:positionV>
            <wp:extent cx="6332220" cy="5508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2: Relative frequency of personal crimes by year, with three offenses removed for better visibility.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720090</wp:posOffset>
            </wp:positionH>
            <wp:positionV relativeFrom="paragraph">
              <wp:posOffset>2148205</wp:posOffset>
            </wp:positionV>
            <wp:extent cx="6332220" cy="550862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3: Trends in personal crime from 2004 – 2014. The three most frequent crimes dominate the chart.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720090</wp:posOffset>
            </wp:positionH>
            <wp:positionV relativeFrom="paragraph">
              <wp:posOffset>2144395</wp:posOffset>
            </wp:positionV>
            <wp:extent cx="6332220" cy="55086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4: Trends in personal crime, with the three dominating offenses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5: Relative frequency chart for property crimes. Larceny dominates the chart.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720090</wp:posOffset>
            </wp:positionH>
            <wp:positionV relativeFrom="paragraph">
              <wp:posOffset>2141220</wp:posOffset>
            </wp:positionV>
            <wp:extent cx="6332220" cy="55086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6: Relative frequency chart for property crimes with Larceny removed for clarity.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720090</wp:posOffset>
            </wp:positionH>
            <wp:positionV relativeFrom="paragraph">
              <wp:posOffset>2146935</wp:posOffset>
            </wp:positionV>
            <wp:extent cx="6332220" cy="55086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7: Trends in property crime from 2004 – 2014.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2147570</wp:posOffset>
            </wp:positionV>
            <wp:extent cx="6332220" cy="55086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8: Trends in property crimes, with Larceny removed for clarity.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720090</wp:posOffset>
            </wp:positionH>
            <wp:positionV relativeFrom="paragraph">
              <wp:posOffset>1961515</wp:posOffset>
            </wp:positionV>
            <wp:extent cx="6332220" cy="5508625"/>
            <wp:effectExtent l="0" t="0" r="0" b="0"/>
            <wp:wrapSquare wrapText="largest"/>
            <wp:docPr id="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9: Relative frequency of statutory crimes.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2136775</wp:posOffset>
            </wp:positionV>
            <wp:extent cx="6332220" cy="5508625"/>
            <wp:effectExtent l="0" t="0" r="0" b="0"/>
            <wp:wrapSquare wrapText="largest"/>
            <wp:docPr id="1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10: Relationship between liquor law offenses and drug-related offenses,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720090</wp:posOffset>
            </wp:positionH>
            <wp:positionV relativeFrom="paragraph">
              <wp:posOffset>2145030</wp:posOffset>
            </wp:positionV>
            <wp:extent cx="6332220" cy="5508625"/>
            <wp:effectExtent l="0" t="0" r="0" b="0"/>
            <wp:wrapSquare wrapText="largest"/>
            <wp:docPr id="1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11: Trends in statutory crimes, 2004 – 2014.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720090</wp:posOffset>
            </wp:positionH>
            <wp:positionV relativeFrom="page">
              <wp:posOffset>1960880</wp:posOffset>
            </wp:positionV>
            <wp:extent cx="6332220" cy="550862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12: Portland’s unemployment rate for 2004 – 2014. 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720090</wp:posOffset>
            </wp:positionH>
            <wp:positionV relativeFrom="page">
              <wp:posOffset>2286000</wp:posOffset>
            </wp:positionV>
            <wp:extent cx="6332220" cy="633222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13: Scatter plot showing the relationship of the 2004 – 2014 unemployment rate to larceny offenses.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page">
              <wp:align>center</wp:align>
            </wp:positionH>
            <wp:positionV relativeFrom="page">
              <wp:posOffset>2231390</wp:posOffset>
            </wp:positionV>
            <wp:extent cx="6332220" cy="5508625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14: </w:t>
      </w:r>
      <w:r>
        <w:rPr/>
        <w:t>Property crime</w:t>
      </w:r>
      <w:r>
        <w:rPr/>
        <w:t xml:space="preserve"> rates in Portland during the months surrounding events in Ferguson, Missouri (June to December 2014). The event itself is marked with a vertical black line.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page">
              <wp:posOffset>720090</wp:posOffset>
            </wp:positionH>
            <wp:positionV relativeFrom="page">
              <wp:posOffset>1779270</wp:posOffset>
            </wp:positionV>
            <wp:extent cx="6332220" cy="55086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15: Location of homicides in Portland, 2004 – 2014, colored by year.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page">
              <wp:posOffset>952500</wp:posOffset>
            </wp:positionH>
            <wp:positionV relativeFrom="page">
              <wp:posOffset>2315845</wp:posOffset>
            </wp:positionV>
            <wp:extent cx="5867400" cy="33985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Figure 16: </w:t>
      </w:r>
      <w:bookmarkStart w:id="0" w:name="__DdeLink__365_868925416"/>
      <w:bookmarkEnd w:id="0"/>
      <w:r>
        <w:rPr/>
        <w:t>Histogram of homicides per month from 2004 – 2014. Portland enjoys a relatively low homicide rate, with a mean value of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2136140</wp:posOffset>
            </wp:positionV>
            <wp:extent cx="6332220" cy="5508625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17: Location of motor vehicle thefts in Portland,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2138680</wp:posOffset>
            </wp:positionV>
            <wp:extent cx="5867400" cy="339852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18: Histogram of motor vehicle thefts per month from 2004 – 2014. The mean value is 2.20.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720090</wp:posOffset>
            </wp:positionH>
            <wp:positionV relativeFrom="paragraph">
              <wp:posOffset>2138680</wp:posOffset>
            </wp:positionV>
            <wp:extent cx="6332220" cy="55086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19: Robberies,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20: Frequency distribution for Disorderly Conduct, with the mean occurrence rate for 2004 – 2014 marked at 10.80861 and the mean occurrence rate after events at Ferguson marked at 10.60690.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332220" cy="39020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720090</wp:posOffset>
            </wp:positionH>
            <wp:positionV relativeFrom="paragraph">
              <wp:posOffset>2311400</wp:posOffset>
            </wp:positionV>
            <wp:extent cx="6332220" cy="39020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21: Frequency distribution for Motor Vehicle Theft, with the mean occurrence rate for 2004 – 2014 marked at 11.22524 and the mean occurrence rate after events at Ferguson marked at 10.99310.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1" w:name="__DdeLink__446_2112390647"/>
      <w:bookmarkEnd w:id="1"/>
      <w:r>
        <w:rPr/>
        <w:t>Figure 22: Relationship between percentage of people identifying as white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23: Relationship between percentage of people identifying as not white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958850</wp:posOffset>
            </wp:positionH>
            <wp:positionV relativeFrom="paragraph">
              <wp:posOffset>2498090</wp:posOffset>
            </wp:positionV>
            <wp:extent cx="5855335" cy="336169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Figure 24: Relationship between percentage of people identifying as black or African American in a particular neighborhood and the incidence of robbery in that neighborhood in 2010.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headerReference w:type="default" r:id="rId26"/>
      <w:type w:val="nextPage"/>
      <w:pgSz w:w="12240" w:h="15840"/>
      <w:pgMar w:left="1134" w:right="1134" w:header="1134" w:top="1693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t>CRIME IN PORTLAND</w:t>
      <w:tab/>
      <w:tab/>
    </w:r>
    <w:r>
      <w:rPr/>
      <w:fldChar w:fldCharType="begin"/>
    </w:r>
    <w:r>
      <w:instrText> PAGE </w:instrText>
    </w:r>
    <w:r>
      <w:fldChar w:fldCharType="separate"/>
    </w:r>
    <w:r>
      <w:t>24</w:t>
    </w:r>
    <w:r>
      <w:fldChar w:fldCharType="end"/>
    </w:r>
  </w:p>
</w:hdr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pPr>
      <w:suppressLineNumbers/>
      <w:tabs>
        <w:tab w:val="center" w:pos="4986" w:leader="none"/>
        <w:tab w:val="right" w:pos="9972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182</TotalTime>
  <Application>LibreOffice/5.1.6.2$Linux_X86_64 LibreOffice_project/10m0$Build-2</Application>
  <Pages>24</Pages>
  <Words>388</Words>
  <Characters>2128</Characters>
  <CharactersWithSpaces>2504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2017-04-18T20:09:01Z</dcterms:created>
  <dc:creator/>
  <dc:description/>
  <dc:language>en-US</dc:language>
  <cp:lastModifiedBy/>
  <dcterms:modified xsi:type="dcterms:W3CDTF">2017-04-21T07:49:46Z</dcterms:modified>
  <cp:revision>19</cp:revision>
  <dc:subject/>
  <dc:title/>
</cp:coreProperties>
</file>