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1273175</wp:posOffset>
            </wp:positionV>
            <wp:extent cx="6332220" cy="5508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1: Relative frequency of personal crimes by year.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1273175</wp:posOffset>
            </wp:positionV>
            <wp:extent cx="6332220" cy="55086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2: Relative frequency of personal crimes by year, with three offenses removed for better visibility.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3: Trends in personal crime from 2004 – 2014. The three most frequent crimes dominate the chart.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372110</wp:posOffset>
            </wp:positionV>
            <wp:extent cx="6332220" cy="550862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4: Trends in personal crime, with the three dominating offenses removed </w:t>
      </w: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718820</wp:posOffset>
            </wp:positionV>
            <wp:extent cx="6332220" cy="55086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</w:t>
      </w:r>
      <w:r>
        <w:rPr/>
        <w:t>or clarity.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1250950</wp:posOffset>
            </wp:positionV>
            <wp:extent cx="6332220" cy="55086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Figure 5: Relative frequency chart for property crimes. Larceny dominates the chart.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1250950</wp:posOffset>
            </wp:positionV>
            <wp:extent cx="6332220" cy="55086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Figure 6: Relative frequency chart for property crimes with Larceny removed for clarity.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721360</wp:posOffset>
            </wp:positionV>
            <wp:extent cx="6332220" cy="55086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</w:t>
      </w:r>
      <w:r>
        <w:rPr/>
        <w:t>igure 7: Trends in property crime from 2004 – 2014.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</w:t>
      </w:r>
      <w:r>
        <w:rPr/>
        <w:t>8</w:t>
      </w:r>
      <w:r>
        <w:rPr/>
        <w:t>: Trends in property crimes, with Larceny removed for clarity.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371475</wp:posOffset>
            </wp:positionV>
            <wp:extent cx="6332220" cy="55086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</w:t>
      </w:r>
      <w:r>
        <w:rPr/>
        <w:t>9</w:t>
      </w:r>
      <w:r>
        <w:rPr/>
        <w:t>: Relative frequency of statutory crimes.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720725</wp:posOffset>
            </wp:positionV>
            <wp:extent cx="6332220" cy="5508625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</w:t>
      </w:r>
      <w:r>
        <w:rPr/>
        <w:t>10</w:t>
      </w:r>
      <w:r>
        <w:rPr/>
        <w:t>: Relationship between liquor law offenses and drug-related offenses, 2004 – 2014.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360680</wp:posOffset>
            </wp:positionV>
            <wp:extent cx="6332220" cy="5508625"/>
            <wp:effectExtent l="0" t="0" r="0" b="0"/>
            <wp:wrapSquare wrapText="largest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page">
              <wp:posOffset>720090</wp:posOffset>
            </wp:positionH>
            <wp:positionV relativeFrom="page">
              <wp:posOffset>2150110</wp:posOffset>
            </wp:positionV>
            <wp:extent cx="6332220" cy="5508625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</w:t>
      </w:r>
      <w:r>
        <w:rPr/>
        <w:t>1</w:t>
      </w:r>
      <w:r>
        <w:rPr/>
        <w:t>: Trends in statutory crimes, 2004 – 2014.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2326005</wp:posOffset>
            </wp:positionV>
            <wp:extent cx="6332220" cy="550862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</w:t>
      </w:r>
      <w:r>
        <w:rPr/>
        <w:t>12</w:t>
      </w:r>
      <w:r>
        <w:rPr/>
        <w:t xml:space="preserve">: Portland’s unemployment rate for 2004 – 2014. 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720090</wp:posOffset>
            </wp:positionH>
            <wp:positionV relativeFrom="paragraph">
              <wp:posOffset>2155190</wp:posOffset>
            </wp:positionV>
            <wp:extent cx="6332220" cy="633222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</w:t>
      </w:r>
      <w:r>
        <w:rPr/>
        <w:t>13</w:t>
      </w:r>
      <w:r>
        <w:rPr/>
        <w:t xml:space="preserve">: Scatter plot showing the relationship </w:t>
      </w:r>
      <w:r>
        <w:rPr/>
        <w:t>of</w:t>
      </w:r>
      <w:r>
        <w:rPr/>
        <w:t xml:space="preserve"> the 2004 – 2014 unemployment rate to larceny offenses.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720090</wp:posOffset>
            </wp:positionH>
            <wp:positionV relativeFrom="paragraph">
              <wp:posOffset>2520315</wp:posOffset>
            </wp:positionV>
            <wp:extent cx="6332220" cy="550862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</w:t>
      </w:r>
      <w:r>
        <w:rPr/>
        <w:t>4</w:t>
      </w:r>
      <w:r>
        <w:rPr/>
        <w:t>: Crime rates in Portland during the months surrounding events in Ferguson, Missouri (June to December 2014). The event itself is marked with a vertical black line.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730885</wp:posOffset>
            </wp:positionH>
            <wp:positionV relativeFrom="paragraph">
              <wp:posOffset>1784350</wp:posOffset>
            </wp:positionV>
            <wp:extent cx="6332220" cy="55086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15: Location of homicides in Portland, 2004 – 2014, colored by year.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952500</wp:posOffset>
            </wp:positionH>
            <wp:positionV relativeFrom="paragraph">
              <wp:posOffset>2320925</wp:posOffset>
            </wp:positionV>
            <wp:extent cx="5867400" cy="339852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16: </w:t>
      </w:r>
      <w:bookmarkStart w:id="0" w:name="__DdeLink__365_868925416"/>
      <w:bookmarkEnd w:id="0"/>
      <w:r>
        <w:rPr/>
        <w:t>Histogram of homicides per month from 2004 – 2014. Portland enjoys a relatively low homicide rate, with a mean value of 2.20.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2037715</wp:posOffset>
            </wp:positionV>
            <wp:extent cx="7772400" cy="376936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17: </w:t>
      </w:r>
      <w:r>
        <w:rPr/>
        <w:t xml:space="preserve">Location of </w:t>
      </w:r>
      <w:r>
        <w:rPr/>
        <w:t>motor vehicle thefts</w:t>
      </w:r>
      <w:r>
        <w:rPr/>
        <w:t xml:space="preserve"> in Portland,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952500</wp:posOffset>
            </wp:positionH>
            <wp:positionV relativeFrom="paragraph">
              <wp:posOffset>2143760</wp:posOffset>
            </wp:positionV>
            <wp:extent cx="5867400" cy="339852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18: </w:t>
      </w:r>
      <w:r>
        <w:rPr/>
        <w:t xml:space="preserve">Histogram of </w:t>
      </w:r>
      <w:r>
        <w:rPr/>
        <w:t>motor vehicle thefts</w:t>
      </w:r>
      <w:r>
        <w:rPr/>
        <w:t xml:space="preserve"> per month from 2004 – 2014. </w:t>
      </w:r>
      <w:r>
        <w:rPr/>
        <w:t>The</w:t>
      </w:r>
      <w:r>
        <w:rPr/>
        <w:t xml:space="preserve"> mean value </w:t>
      </w:r>
      <w:r>
        <w:rPr/>
        <w:t>is</w:t>
      </w:r>
      <w:r>
        <w:rPr/>
        <w:t xml:space="preserve"> 2.20.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720090</wp:posOffset>
            </wp:positionH>
            <wp:positionV relativeFrom="paragraph">
              <wp:posOffset>2143760</wp:posOffset>
            </wp:positionV>
            <wp:extent cx="6332220" cy="55086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19: Robberies,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20: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default" r:id="rId21"/>
      <w:type w:val="nextPage"/>
      <w:pgSz w:w="12240" w:h="15840"/>
      <w:pgMar w:left="1134" w:right="1134" w:header="1134" w:top="1693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CRIME IN PORTLAND</w:t>
      <w:tab/>
      <w:tab/>
    </w:r>
    <w:r>
      <w:rPr/>
      <w:fldChar w:fldCharType="begin"/>
    </w:r>
    <w:r>
      <w:instrText> PAGE </w:instrText>
    </w:r>
    <w:r>
      <w:fldChar w:fldCharType="separate"/>
    </w:r>
    <w:r>
      <w:t>21</w:t>
    </w:r>
    <w:r>
      <w:fldChar w:fldCharType="end"/>
    </w:r>
  </w:p>
</w:hdr>
</file>

<file path=word/settings.xml><?xml version="1.0" encoding="utf-8"?>
<w:settings xmlns:w="http://schemas.openxmlformats.org/wordprocessingml/2006/main">
  <w:zoom w:percent="7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</TotalTime>
  <Application>LibreOffice/5.3.2.2$Linux_X86_64 LibreOffice_project/30m0$Build-2</Application>
  <Pages>21</Pages>
  <Words>252</Words>
  <Characters>1362</Characters>
  <CharactersWithSpaces>1605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2017-04-18T20:09:01Z</dcterms:created>
  <dc:creator/>
  <dc:description/>
  <dc:language>en-US</dc:language>
  <cp:lastModifiedBy/>
  <dcterms:modified xsi:type="dcterms:W3CDTF">2017-04-19T15:00:35Z</dcterms:modified>
  <cp:revision>14</cp:revision>
  <dc:subject/>
  <dc:title/>
</cp:coreProperties>
</file>