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 — Docentenhandleiding</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rPr>
          <w:rFonts w:ascii="DM Sans" w:cs="DM Sans" w:eastAsia="DM Sans" w:hAnsi="DM Sans"/>
          <w:color w:val="14213D"/>
          <w:sz w:val="22"/>
          <w:szCs w:val="22"/>
        </w:rPr>
        <w:t xml:space="preserve">Deel 1 — Docentenhandleiding</w:t>
      </w:r>
    </w:p>
    <w:p>
      <w:pPr>
        <w:spacing w:after="160"/>
      </w:pPr>
      <w:r>
        <w:rPr>
          <w:rFonts w:ascii="DM Sans" w:cs="DM Sans" w:eastAsia="DM Sans" w:hAnsi="DM Sans"/>
          <w:b/>
          <w:bCs/>
          <w:color w:val="14213D"/>
          <w:sz w:val="22"/>
          <w:szCs w:val="22"/>
        </w:rPr>
        <w:t xml:space="preserve">Cursus Databasemanagement — Niveau 1, deel 1: Databases en het DBMS-landschap</w:t>
      </w:r>
    </w:p>
    <w:p>
      <w:pPr>
        <w:spacing w:after="160"/>
      </w:pPr>
      <w:r>
        <w:rPr>
          <w:rFonts w:ascii="DM Sans" w:cs="DM Sans" w:eastAsia="DM Sans" w:hAnsi="DM Sans"/>
          <w:color w:val="14213D"/>
          <w:sz w:val="22"/>
          <w:szCs w:val="22"/>
        </w:rPr>
        <w:t xml:space="preserve">Dagdeel van 4 klokuren, inclusief twee pauzes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Deel 1 is een positioneringsdeel. Er wordt nog geen SQL geschreven en er draait nog geen database. Dat is een bewuste keuze: de meeste deelnemers komen binnen met de aanname dat "database" gelijkstaat aan "SQL", en dat maakt hen later blind voor de vraag of het gekozen platform wel past bij de werklast.</w:t>
      </w:r>
    </w:p>
    <w:p>
      <w:pPr>
        <w:spacing w:after="160"/>
      </w:pPr>
      <w:r>
        <w:rPr>
          <w:rFonts w:ascii="DM Sans" w:cs="DM Sans" w:eastAsia="DM Sans" w:hAnsi="DM Sans"/>
          <w:color w:val="14213D"/>
          <w:sz w:val="22"/>
          <w:szCs w:val="22"/>
        </w:rPr>
        <w:t xml:space="preserve">Het inhoudelijke zwaartepunt ligt op </w:t>
      </w:r>
      <w:r>
        <w:rPr>
          <w:rFonts w:ascii="DM Sans" w:cs="DM Sans" w:eastAsia="DM Sans" w:hAnsi="DM Sans"/>
          <w:b/>
          <w:bCs/>
          <w:color w:val="14213D"/>
          <w:sz w:val="22"/>
          <w:szCs w:val="22"/>
        </w:rPr>
        <w:t xml:space="preserve">oordeelsvorming</w:t>
      </w:r>
      <w:r>
        <w:rPr>
          <w:rFonts w:ascii="DM Sans" w:cs="DM Sans" w:eastAsia="DM Sans" w:hAnsi="DM Sans"/>
          <w:color w:val="14213D"/>
          <w:sz w:val="22"/>
          <w:szCs w:val="22"/>
        </w:rPr>
        <w:t xml:space="preserve">: kunnen deelnemers een platformkeuze onderbouwen en verdedigen. De technische diepgang komt vanaf deel 2.</w:t>
      </w:r>
    </w:p>
    <w:p>
      <w:pPr>
        <w:spacing w:after="160"/>
      </w:pPr>
      <w:r>
        <w:rPr>
          <w:rFonts w:ascii="DM Sans" w:cs="DM Sans" w:eastAsia="DM Sans" w:hAnsi="DM Sans"/>
          <w:b/>
          <w:bCs/>
          <w:color w:val="14213D"/>
          <w:sz w:val="22"/>
          <w:szCs w:val="22"/>
        </w:rPr>
        <w:t xml:space="preserve">Valkuil voor de docent:</w:t>
      </w:r>
      <w:r>
        <w:rPr>
          <w:rFonts w:ascii="DM Sans" w:cs="DM Sans" w:eastAsia="DM Sans" w:hAnsi="DM Sans"/>
          <w:color w:val="14213D"/>
          <w:sz w:val="22"/>
          <w:szCs w:val="22"/>
        </w:rPr>
        <w:t xml:space="preserve"> dit deel verleidt tot een college over databasegeschiedenis. Houd de historie onder de vijf minuten. Deelnemers onthouden de casus, niet Codd's publicatiejaar.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p>
    <w:p>
      <w:pPr>
        <w:pStyle w:val="ListParagraph"/>
        <w:numPr>
          <w:ilvl w:val="0"/>
          <w:numId w:val="2"/>
        </w:numPr>
      </w:pPr>
      <w:r>
        <w:rPr>
          <w:rFonts w:ascii="DM Sans" w:cs="DM Sans" w:eastAsia="DM Sans" w:hAnsi="DM Sans"/>
          <w:color w:val="14213D"/>
          <w:sz w:val="22"/>
          <w:szCs w:val="22"/>
        </w:rPr>
        <w:t xml:space="preserve">Reader deel 1 doorlezen (circa 45 minuten).</w:t>
      </w:r>
    </w:p>
    <w:p>
      <w:pPr>
        <w:pStyle w:val="ListParagraph"/>
        <w:numPr>
          <w:ilvl w:val="0"/>
          <w:numId w:val="2"/>
        </w:numPr>
      </w:pPr>
      <w:r>
        <w:rPr>
          <w:rFonts w:ascii="DM Sans" w:cs="DM Sans" w:eastAsia="DM Sans" w:hAnsi="DM Sans"/>
          <w:color w:val="14213D"/>
          <w:sz w:val="22"/>
          <w:szCs w:val="22"/>
        </w:rPr>
        <w:t xml:space="preserve">Eén concreet voorbeeld meenemen uit de eigen organisatie van gegevens die buiten een database worden beheerd.</w:t>
      </w:r>
    </w:p>
    <w:p>
      <w:pPr>
        <w:spacing w:after="160"/>
      </w:pPr>
      <w:r>
        <w:rPr>
          <w:rFonts w:ascii="DM Sans" w:cs="DM Sans" w:eastAsia="DM Sans" w:hAnsi="DM Sans"/>
          <w:b/>
          <w:bCs/>
          <w:color w:val="14213D"/>
          <w:sz w:val="22"/>
          <w:szCs w:val="22"/>
        </w:rPr>
        <w:t xml:space="preserve">Door de docent:</w:t>
      </w:r>
    </w:p>
    <w:p>
      <w:pPr>
        <w:pStyle w:val="ListParagraph"/>
        <w:numPr>
          <w:ilvl w:val="0"/>
          <w:numId w:val="2"/>
        </w:numPr>
      </w:pPr>
      <w:r>
        <w:rPr>
          <w:rFonts w:ascii="DM Sans" w:cs="DM Sans" w:eastAsia="DM Sans" w:hAnsi="DM Sans"/>
          <w:color w:val="14213D"/>
          <w:sz w:val="22"/>
          <w:szCs w:val="22"/>
        </w:rPr>
        <w:t xml:space="preserve">Slidedeck deel 1 gereed.</w:t>
      </w:r>
    </w:p>
    <w:p>
      <w:pPr>
        <w:pStyle w:val="ListParagraph"/>
        <w:numPr>
          <w:ilvl w:val="0"/>
          <w:numId w:val="2"/>
        </w:numPr>
      </w:pPr>
      <w:r>
        <w:rPr>
          <w:rFonts w:ascii="DM Sans" w:cs="DM Sans" w:eastAsia="DM Sans" w:hAnsi="DM Sans"/>
          <w:color w:val="14213D"/>
          <w:sz w:val="22"/>
          <w:szCs w:val="22"/>
        </w:rPr>
        <w:t xml:space="preserve">Flip-over of digitaal whiteboard voor de landschapskaart (oefening 2).</w:t>
      </w:r>
    </w:p>
    <w:p>
      <w:pPr>
        <w:pStyle w:val="ListParagraph"/>
        <w:numPr>
          <w:ilvl w:val="0"/>
          <w:numId w:val="2"/>
        </w:numPr>
      </w:pPr>
      <w:r>
        <w:rPr>
          <w:rFonts w:ascii="DM Sans" w:cs="DM Sans" w:eastAsia="DM Sans" w:hAnsi="DM Sans"/>
          <w:color w:val="14213D"/>
          <w:sz w:val="22"/>
          <w:szCs w:val="22"/>
        </w:rPr>
        <w:t xml:space="preserve">Uitgeprinte casusbeschrijving Meridiaan als los A4 — deelnemers verwijzen er de hele dag naar.</w:t>
      </w:r>
    </w:p>
    <w:p>
      <w:pPr>
        <w:pStyle w:val="ListParagraph"/>
        <w:numPr>
          <w:ilvl w:val="0"/>
          <w:numId w:val="2"/>
        </w:numPr>
      </w:pPr>
      <w:r>
        <w:rPr>
          <w:rFonts w:ascii="DM Sans" w:cs="DM Sans" w:eastAsia="DM Sans" w:hAnsi="DM Sans"/>
          <w:color w:val="14213D"/>
          <w:sz w:val="22"/>
          <w:szCs w:val="22"/>
        </w:rPr>
        <w:t xml:space="preserve">Werkboek in tweevoud beschikbaar: zonder uitwerkingen tijdens de opdrachten, mét uitwerkingen na afloop.</w:t>
      </w:r>
    </w:p>
    <w:p>
      <w:pPr>
        <w:spacing w:after="160"/>
      </w:pPr>
      <w:r>
        <w:rPr>
          <w:rFonts w:ascii="DM Sans" w:cs="DM Sans" w:eastAsia="DM Sans" w:hAnsi="DM Sans"/>
          <w:b/>
          <w:bCs/>
          <w:color w:val="14213D"/>
          <w:sz w:val="22"/>
          <w:szCs w:val="22"/>
        </w:rPr>
        <w:t xml:space="preserve">Zaalopstelling:</w:t>
      </w:r>
      <w:r>
        <w:rPr>
          <w:rFonts w:ascii="DM Sans" w:cs="DM Sans" w:eastAsia="DM Sans" w:hAnsi="DM Sans"/>
          <w:color w:val="14213D"/>
          <w:sz w:val="22"/>
          <w:szCs w:val="22"/>
        </w:rPr>
        <w:t xml:space="preserve"> groepjes van drie. Opdracht 1.6 is de hoofdopdracht en werkt in drietallen het best, dus stel die opstelling meteen 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Welkom, kennismaking, verwachtingen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Rondje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0:15-0:25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Casusintroductie Meridiaan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vraag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0:25-0:45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Van bestanden naar databases (§3-4)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met inbreng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0:45-1:00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1.1</w:t>
            </w:r>
            <w:r>
              <w:rPr>
                <w:rFonts w:ascii="DM Sans" w:cs="DM Sans" w:eastAsia="DM Sans" w:hAnsi="DM Sans"/>
                <w:color w:val="14213D"/>
                <w:sz w:val="22"/>
                <w:szCs w:val="22"/>
              </w:rPr>
              <w:t xml:space="preserve"> — diagnose van de schil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 + 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1:00-1:15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1:15-1:45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DBMS-landschap (§5)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landschapskaart bouwen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1:45-2:00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1.2</w:t>
            </w:r>
            <w:r>
              <w:rPr>
                <w:rFonts w:ascii="DM Sans" w:cs="DM Sans" w:eastAsia="DM Sans" w:hAnsi="DM Sans"/>
                <w:color w:val="14213D"/>
                <w:sz w:val="22"/>
                <w:szCs w:val="22"/>
              </w:rPr>
              <w:t xml:space="preserve"> — categorie bij werklast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2:00-2:20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ACID en BASE (§6) + </w:t>
            </w:r>
            <w:r>
              <w:rPr>
                <w:rFonts w:ascii="DM Sans" w:cs="DM Sans" w:eastAsia="DM Sans" w:hAnsi="DM Sans"/>
                <w:b/>
                <w:bCs/>
                <w:color w:val="14213D"/>
                <w:sz w:val="22"/>
                <w:szCs w:val="22"/>
              </w:rPr>
              <w:t xml:space="preserve">opdracht 1.3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2:20-2:30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2:30-3:00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PostgreSQL gepositioneerd (§7-9)</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3:00-3:20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1.4</w:t>
            </w:r>
            <w:r>
              <w:rPr>
                <w:rFonts w:ascii="DM Sans" w:cs="DM Sans" w:eastAsia="DM Sans" w:hAnsi="DM Sans"/>
                <w:color w:val="14213D"/>
                <w:sz w:val="22"/>
                <w:szCs w:val="22"/>
              </w:rPr>
              <w:t xml:space="preserve"> — het tegengeluid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 + voorlezen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3:20-3:30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Versiebeleid (§8.2) + </w:t>
            </w:r>
            <w:r>
              <w:rPr>
                <w:rFonts w:ascii="DM Sans" w:cs="DM Sans" w:eastAsia="DM Sans" w:hAnsi="DM Sans"/>
                <w:b/>
                <w:bCs/>
                <w:color w:val="14213D"/>
                <w:sz w:val="22"/>
                <w:szCs w:val="22"/>
              </w:rPr>
              <w:t xml:space="preserve">opdracht 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Kort, 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3:30-4:00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1.6</w:t>
            </w:r>
            <w:r>
              <w:rPr>
                <w:rFonts w:ascii="DM Sans" w:cs="DM Sans" w:eastAsia="DM Sans" w:hAnsi="DM Sans"/>
                <w:color w:val="14213D"/>
                <w:sz w:val="22"/>
                <w:szCs w:val="22"/>
              </w:rPr>
              <w:t xml:space="preserve"> — adviesnota + presentatie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bl>
    <w:p>
      <w:pPr>
        <w:spacing w:after="160"/>
      </w:pPr>
    </w:p>
    <w:p>
      <w:pPr>
        <w:spacing w:after="160"/>
      </w:pPr>
      <w:r>
        <w:rPr>
          <w:rFonts w:ascii="DM Sans" w:cs="DM Sans" w:eastAsia="DM Sans" w:hAnsi="DM Sans"/>
          <w:color w:val="14213D"/>
          <w:sz w:val="22"/>
          <w:szCs w:val="22"/>
        </w:rPr>
        <w:t xml:space="preserve">Loop je uit, dan kort je opdracht 1.5 in tot een plenaire vraag-antwoordronde van vijf minuten.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opdracht 1.6 in; dat is de opdracht waar het dagdeel op afgerekend wordt.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Casusintroductie (0:15)</w:t>
      </w:r>
    </w:p>
    <w:p>
      <w:pPr>
        <w:spacing w:after="160"/>
      </w:pPr>
      <w:r>
        <w:rPr>
          <w:rFonts w:ascii="DM Sans" w:cs="DM Sans" w:eastAsia="DM Sans" w:hAnsi="DM Sans"/>
          <w:color w:val="14213D"/>
          <w:sz w:val="22"/>
          <w:szCs w:val="22"/>
        </w:rPr>
        <w:t xml:space="preserve">Presenteer Meridiaan niet als fictie maar als herkenbaar patroon. Stel na de introductie één vraag aan de groep:</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"Wie herkent hier iets van in de eigen organisatie?"</w:t>
      </w:r>
    </w:p>
    <w:p>
      <w:pPr>
        <w:spacing w:after="160"/>
      </w:pPr>
      <w:r>
        <w:rPr>
          <w:rFonts w:ascii="DM Sans" w:cs="DM Sans" w:eastAsia="DM Sans" w:hAnsi="DM Sans"/>
          <w:color w:val="14213D"/>
          <w:sz w:val="22"/>
          <w:szCs w:val="22"/>
        </w:rPr>
        <w:t xml:space="preserve">Vrijwel altijd gaan er handen omhoog. Laat twee mensen kort vertellen. Dit is de investering die de rest van de dag terugbetaalt: de casus wordt van "een oefening" tot "ons probleem".</w:t>
      </w:r>
    </w:p>
    <w:p>
      <w:pPr>
        <w:pStyle w:val="Heading3"/>
      </w:pPr>
      <w:r>
        <w:rPr>
          <w:rFonts w:ascii="DM Sans" w:cs="DM Sans" w:eastAsia="DM Sans" w:hAnsi="DM Sans"/>
          <w:color w:val="14213D"/>
          <w:sz w:val="22"/>
          <w:szCs w:val="22"/>
        </w:rPr>
        <w:t xml:space="preserve">4.2 Van bestanden naar databases (0:25)</w:t>
      </w:r>
    </w:p>
    <w:p>
      <w:pPr>
        <w:spacing w:after="160"/>
      </w:pPr>
      <w:r>
        <w:rPr>
          <w:rFonts w:ascii="DM Sans" w:cs="DM Sans" w:eastAsia="DM Sans" w:hAnsi="DM Sans"/>
          <w:color w:val="14213D"/>
          <w:sz w:val="22"/>
          <w:szCs w:val="22"/>
        </w:rPr>
        <w:t xml:space="preserve">Werk de zes problemen uit paragraaf 3 op de flip-over uit en laat de groep per probleem zelf een voorbeeld aandragen. Schrijf naast elk probleem het cursusdeel waar de oplossing komt. Laat dit overzicht de hele dag staan; je verwijst er bij opdracht 1.1 naar terug.</w:t>
      </w:r>
    </w:p>
    <w:p>
      <w:pPr>
        <w:pStyle w:val="Heading3"/>
      </w:pPr>
      <w:r>
        <w:rPr>
          <w:rFonts w:ascii="DM Sans" w:cs="DM Sans" w:eastAsia="DM Sans" w:hAnsi="DM Sans"/>
          <w:color w:val="14213D"/>
          <w:sz w:val="22"/>
          <w:szCs w:val="22"/>
        </w:rPr>
        <w:t xml:space="preserve">4.3 Opdracht 1.1 (0:45)</w:t>
      </w:r>
    </w:p>
    <w:p>
      <w:pPr>
        <w:spacing w:after="160"/>
      </w:pPr>
      <w:r>
        <w:rPr>
          <w:rFonts w:ascii="DM Sans" w:cs="DM Sans" w:eastAsia="DM Sans" w:hAnsi="DM Sans"/>
          <w:color w:val="14213D"/>
          <w:sz w:val="22"/>
          <w:szCs w:val="22"/>
        </w:rPr>
        <w:t xml:space="preserve">Individueel laten maken, dan plenair langslopen. Ga niet op alle vijf even diep in; besteed de meeste tijd aan </w:t>
      </w:r>
      <w:r>
        <w:rPr>
          <w:rFonts w:ascii="DM Sans" w:cs="DM Sans" w:eastAsia="DM Sans" w:hAnsi="DM Sans"/>
          <w:b/>
          <w:bCs/>
          <w:color w:val="14213D"/>
          <w:sz w:val="22"/>
          <w:szCs w:val="22"/>
        </w:rPr>
        <w:t xml:space="preserve">b (lost update)</w:t>
      </w:r>
      <w:r>
        <w:rPr>
          <w:rFonts w:ascii="DM Sans" w:cs="DM Sans" w:eastAsia="DM Sans" w:hAnsi="DM Sans"/>
          <w:color w:val="14213D"/>
          <w:sz w:val="22"/>
          <w:szCs w:val="22"/>
        </w:rPr>
        <w:t xml:space="preserve">, want dat is het probleem dat deelnemers het minst intuïtief vinden — "de laatste die opslaat wint" voelt voor veel mensen als normaal gedrag.</w:t>
      </w:r>
    </w:p>
    <w:p>
      <w:pPr>
        <w:pStyle w:val="Heading3"/>
      </w:pPr>
      <w:r>
        <w:rPr>
          <w:rFonts w:ascii="DM Sans" w:cs="DM Sans" w:eastAsia="DM Sans" w:hAnsi="DM Sans"/>
          <w:color w:val="14213D"/>
          <w:sz w:val="22"/>
          <w:szCs w:val="22"/>
        </w:rPr>
        <w:t xml:space="preserve">4.4 Het DBMS-landschap (1:15)</w:t>
      </w:r>
    </w:p>
    <w:p>
      <w:pPr>
        <w:spacing w:after="160"/>
      </w:pPr>
      <w:r>
        <w:rPr>
          <w:rFonts w:ascii="DM Sans" w:cs="DM Sans" w:eastAsia="DM Sans" w:hAnsi="DM Sans"/>
          <w:color w:val="14213D"/>
          <w:sz w:val="22"/>
          <w:szCs w:val="22"/>
        </w:rPr>
        <w:t xml:space="preserve">Bouw de landschapskaart samen met de groep in plaats van hem te tonen. Teken twee assen (schemastrengheid, schaalmodel) en laat deelnemers de categorieën plaatsen. Discussie over de plaatsing is waardevoller dan de juiste plaatsing.</w:t>
      </w:r>
    </w:p>
    <w:p>
      <w:pPr>
        <w:spacing w:after="160"/>
      </w:pPr>
      <w:r>
        <w:rPr>
          <w:rFonts w:ascii="DM Sans" w:cs="DM Sans" w:eastAsia="DM Sans" w:hAnsi="DM Sans"/>
          <w:b/>
          <w:bCs/>
          <w:color w:val="14213D"/>
          <w:sz w:val="22"/>
          <w:szCs w:val="22"/>
        </w:rPr>
        <w:t xml:space="preserve">Belangrijk moment:</w:t>
      </w:r>
      <w:r>
        <w:rPr>
          <w:rFonts w:ascii="DM Sans" w:cs="DM Sans" w:eastAsia="DM Sans" w:hAnsi="DM Sans"/>
          <w:color w:val="14213D"/>
          <w:sz w:val="22"/>
          <w:szCs w:val="22"/>
        </w:rPr>
        <w:t xml:space="preserve"> benoem expliciet dat categorieën specialisaties zijn en geen generaties. Deelnemers die uit organisaties komen waar "we gaan naar NoSQL" is uitgesproken, hebben deze correctie nodig. Wees hier stellig maar niet spottend — het is meestal niet hun eigen idee geweest.</w:t>
      </w:r>
    </w:p>
    <w:p>
      <w:pPr>
        <w:pStyle w:val="Heading3"/>
      </w:pPr>
      <w:r>
        <w:rPr>
          <w:rFonts w:ascii="DM Sans" w:cs="DM Sans" w:eastAsia="DM Sans" w:hAnsi="DM Sans"/>
          <w:color w:val="14213D"/>
          <w:sz w:val="22"/>
          <w:szCs w:val="22"/>
        </w:rPr>
        <w:t xml:space="preserve">4.5 ACID en BASE (2:00)</w:t>
      </w:r>
    </w:p>
    <w:p>
      <w:pPr>
        <w:spacing w:after="160"/>
      </w:pPr>
      <w:r>
        <w:rPr>
          <w:rFonts w:ascii="DM Sans" w:cs="DM Sans" w:eastAsia="DM Sans" w:hAnsi="DM Sans"/>
          <w:color w:val="14213D"/>
          <w:sz w:val="22"/>
          <w:szCs w:val="22"/>
        </w:rPr>
        <w:t xml:space="preserve">Gebruik het waardeoverdrachtvoorbeeld. Vraag pas ná de uitleg wie er een BASE-systeem zou accepteren voor pensioenaanspraken; het antwoord is unaniem en dat maakt het punt beter dan uitleg.</w:t>
      </w:r>
    </w:p>
    <w:p>
      <w:pPr>
        <w:spacing w:after="160"/>
      </w:pPr>
      <w:r>
        <w:rPr>
          <w:rFonts w:ascii="DM Sans" w:cs="DM Sans" w:eastAsia="DM Sans" w:hAnsi="DM Sans"/>
          <w:color w:val="14213D"/>
          <w:sz w:val="22"/>
          <w:szCs w:val="22"/>
        </w:rPr>
        <w:t xml:space="preserve">Stuur bij opdracht 1.3 op de formulering: deelnemers die "belangrijk dus ACID" zeggen, moeten worden teruggestuurd naar de vraag </w:t>
      </w:r>
      <w:r>
        <w:rPr>
          <w:rFonts w:ascii="DM Sans" w:cs="DM Sans" w:eastAsia="DM Sans" w:hAnsi="DM Sans"/>
          <w:i/>
          <w:iCs/>
          <w:color w:val="14213D"/>
          <w:sz w:val="22"/>
          <w:szCs w:val="22"/>
        </w:rPr>
        <w:t xml:space="preserve">wie draagt de schade</w:t>
      </w:r>
      <w:r>
        <w:rPr>
          <w:rFonts w:ascii="DM Sans" w:cs="DM Sans" w:eastAsia="DM Sans" w:hAnsi="DM Sans"/>
          <w:color w:val="14213D"/>
          <w:sz w:val="22"/>
          <w:szCs w:val="22"/>
        </w:rPr>
        <w:t xml:space="preserve">.</w:t>
      </w:r>
    </w:p>
    <w:p>
      <w:pPr>
        <w:pStyle w:val="Heading3"/>
      </w:pPr>
      <w:r>
        <w:rPr>
          <w:rFonts w:ascii="DM Sans" w:cs="DM Sans" w:eastAsia="DM Sans" w:hAnsi="DM Sans"/>
          <w:color w:val="14213D"/>
          <w:sz w:val="22"/>
          <w:szCs w:val="22"/>
        </w:rPr>
        <w:t xml:space="preserve">4.6 PostgreSQL gepositioneerd (2:30)</w:t>
      </w:r>
    </w:p>
    <w:p>
      <w:pPr>
        <w:spacing w:after="160"/>
      </w:pPr>
      <w:r>
        <w:rPr>
          <w:rFonts w:ascii="DM Sans" w:cs="DM Sans" w:eastAsia="DM Sans" w:hAnsi="DM Sans"/>
          <w:color w:val="14213D"/>
          <w:sz w:val="22"/>
          <w:szCs w:val="22"/>
        </w:rPr>
        <w:t xml:space="preserve">Hier ligt de tweede valkuil: enthousiasme. De docent van deze cursus is vrijwel altijd zelf PostgreSQL-liefhebber, en de zaal merkt dat binnen twee minuten. Zodra de zaal je als verkoper ziet, verlies je hen.</w:t>
      </w:r>
    </w:p>
    <w:p>
      <w:pPr>
        <w:spacing w:after="160"/>
      </w:pPr>
      <w:r>
        <w:rPr>
          <w:rFonts w:ascii="DM Sans" w:cs="DM Sans" w:eastAsia="DM Sans" w:hAnsi="DM Sans"/>
          <w:color w:val="14213D"/>
          <w:sz w:val="22"/>
          <w:szCs w:val="22"/>
        </w:rPr>
        <w:t xml:space="preserve">Tegenmaatregel: </w:t>
      </w:r>
      <w:r>
        <w:rPr>
          <w:rFonts w:ascii="DM Sans" w:cs="DM Sans" w:eastAsia="DM Sans" w:hAnsi="DM Sans"/>
          <w:b/>
          <w:bCs/>
          <w:color w:val="14213D"/>
          <w:sz w:val="22"/>
          <w:szCs w:val="22"/>
        </w:rPr>
        <w:t xml:space="preserve">behandel paragraaf 9 (wanneer níét) grondiger dan paragraaf 7 (wat het onderscheidt).</w:t>
      </w:r>
      <w:r>
        <w:rPr>
          <w:rFonts w:ascii="DM Sans" w:cs="DM Sans" w:eastAsia="DM Sans" w:hAnsi="DM Sans"/>
          <w:color w:val="14213D"/>
          <w:sz w:val="22"/>
          <w:szCs w:val="22"/>
        </w:rPr>
        <w:t xml:space="preserve"> Reserveer expliciet tien van de dertig minuten voor de nadelen. Vertel minstens één eigen ervaring waarin PostgreSQL niet de juiste keuze was.</w:t>
      </w:r>
    </w:p>
    <w:p>
      <w:pPr>
        <w:pStyle w:val="Heading3"/>
      </w:pPr>
      <w:r>
        <w:rPr>
          <w:rFonts w:ascii="DM Sans" w:cs="DM Sans" w:eastAsia="DM Sans" w:hAnsi="DM Sans"/>
          <w:color w:val="14213D"/>
          <w:sz w:val="22"/>
          <w:szCs w:val="22"/>
        </w:rPr>
        <w:t xml:space="preserve">4.7 Opdracht 1.4 (3:00)</w:t>
      </w:r>
    </w:p>
    <w:p>
      <w:pPr>
        <w:spacing w:after="160"/>
      </w:pPr>
      <w:r>
        <w:rPr>
          <w:rFonts w:ascii="DM Sans" w:cs="DM Sans" w:eastAsia="DM Sans" w:hAnsi="DM Sans"/>
          <w:color w:val="14213D"/>
          <w:sz w:val="22"/>
          <w:szCs w:val="22"/>
        </w:rPr>
        <w:t xml:space="preserve">Laat twee of drie tweetallen hun antwoord hardop voorlezen. Beoordeel plenair op de vier criteria uit het werkboek. Het meest voorkomende gebrek: het antwoord bagatelliseert Ruuds zorg ("dat valt wel mee"). Benoem dat een advies dat de zorg van de beheerder wegwuift, gegarandeerd sneuvelt in de stuurgroep — want Ruud is degene die er 's nachts voor opstaat.</w:t>
      </w:r>
    </w:p>
    <w:p>
      <w:pPr>
        <w:pStyle w:val="Heading3"/>
      </w:pPr>
      <w:r>
        <w:rPr>
          <w:rFonts w:ascii="DM Sans" w:cs="DM Sans" w:eastAsia="DM Sans" w:hAnsi="DM Sans"/>
          <w:color w:val="14213D"/>
          <w:sz w:val="22"/>
          <w:szCs w:val="22"/>
        </w:rPr>
        <w:t xml:space="preserve">4.8 Opdracht 1.6 (3:30)</w:t>
      </w:r>
    </w:p>
    <w:p>
      <w:pPr>
        <w:spacing w:after="160"/>
      </w:pPr>
      <w:r>
        <w:rPr>
          <w:rFonts w:ascii="DM Sans" w:cs="DM Sans" w:eastAsia="DM Sans" w:hAnsi="DM Sans"/>
          <w:color w:val="14213D"/>
          <w:sz w:val="22"/>
          <w:szCs w:val="22"/>
        </w:rPr>
        <w:t xml:space="preserve">Dertig minuten is krap en dat is de bedoeling. Kondig aan dat elk drietal aan het eind twee minuten krijgt om de conclusie én één risico te presenteren.</w:t>
      </w:r>
    </w:p>
    <w:p>
      <w:pPr>
        <w:spacing w:after="160"/>
      </w:pPr>
      <w:r>
        <w:rPr>
          <w:rFonts w:ascii="DM Sans" w:cs="DM Sans" w:eastAsia="DM Sans" w:hAnsi="DM Sans"/>
          <w:color w:val="14213D"/>
          <w:sz w:val="22"/>
          <w:szCs w:val="22"/>
        </w:rPr>
        <w:t xml:space="preserve">Loop rond en stuur op twee dingen:</w:t>
      </w:r>
    </w:p>
    <w:p>
      <w:pPr>
        <w:pStyle w:val="ListParagraph"/>
        <w:numPr>
          <w:ilvl w:val="0"/>
          <w:numId w:val="2"/>
        </w:numPr>
      </w:pPr>
      <w:r>
        <w:rPr>
          <w:rFonts w:ascii="DM Sans" w:cs="DM Sans" w:eastAsia="DM Sans" w:hAnsi="DM Sans"/>
          <w:color w:val="14213D"/>
          <w:sz w:val="22"/>
          <w:szCs w:val="22"/>
        </w:rPr>
        <w:t xml:space="preserve">groepen die eisen overschrijven uit de reader in plaats van uit de casus;</w:t>
      </w:r>
    </w:p>
    <w:p>
      <w:pPr>
        <w:pStyle w:val="ListParagraph"/>
        <w:numPr>
          <w:ilvl w:val="0"/>
          <w:numId w:val="2"/>
        </w:numPr>
      </w:pPr>
      <w:r>
        <w:rPr>
          <w:rFonts w:ascii="DM Sans" w:cs="DM Sans" w:eastAsia="DM Sans" w:hAnsi="DM Sans"/>
          <w:color w:val="14213D"/>
          <w:sz w:val="22"/>
          <w:szCs w:val="22"/>
        </w:rPr>
        <w:t xml:space="preserve">groepen die de risicoparagraaf gebruiken om het afgewezen alternatief zwart te maken.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"Waarom niet gewoon MySQL? Dat is ook gratis."</w:t>
      </w:r>
    </w:p>
    <w:p>
      <w:pPr>
        <w:spacing w:after="160"/>
      </w:pPr>
      <w:r>
        <w:rPr>
          <w:rFonts w:ascii="DM Sans" w:cs="DM Sans" w:eastAsia="DM Sans" w:hAnsi="DM Sans"/>
          <w:color w:val="14213D"/>
          <w:sz w:val="22"/>
          <w:szCs w:val="22"/>
        </w:rPr>
        <w:t xml:space="preserve">Verwijs naar de tabel in paragraaf 7.1: het verschil zit in eigendom en governance. MySQL is in handen van één commercieel bedrijf; PostgreSQL heeft geen eigenaar die de licentie kan wijzigen. Noem daarnaast de zwakkere standaardconformiteit en het beperktere uitbreidingsmodel. Wees eerlijk dat MySQL voor veel webtoepassingen een prima keuze is.</w:t>
      </w:r>
    </w:p>
    <w:p>
      <w:pPr>
        <w:spacing w:after="160"/>
      </w:pPr>
      <w:r>
        <w:rPr>
          <w:rFonts w:ascii="DM Sans" w:cs="DM Sans" w:eastAsia="DM Sans" w:hAnsi="DM Sans"/>
          <w:b/>
          <w:bCs/>
          <w:color w:val="14213D"/>
          <w:sz w:val="22"/>
          <w:szCs w:val="22"/>
        </w:rPr>
        <w:t xml:space="preserve">"Wij zitten volledig in Azure/AWS — verandert dat het antwoord?"</w:t>
      </w:r>
    </w:p>
    <w:p>
      <w:pPr>
        <w:spacing w:after="160"/>
      </w:pPr>
      <w:r>
        <w:rPr>
          <w:rFonts w:ascii="DM Sans" w:cs="DM Sans" w:eastAsia="DM Sans" w:hAnsi="DM Sans"/>
          <w:color w:val="14213D"/>
          <w:sz w:val="22"/>
          <w:szCs w:val="22"/>
        </w:rPr>
        <w:t xml:space="preserve">Deels. Managed PostgreSQL-diensten nemen beheerwerk weg maar beperken je in extensies, superuser-rechten en soms in replicatieopties. Dat is stof voor niveau 3, deel 25. Voor nu: het verandert de beheerafweging, niet de platformafweging.</w:t>
      </w:r>
    </w:p>
    <w:p>
      <w:pPr>
        <w:spacing w:after="160"/>
      </w:pPr>
      <w:r>
        <w:rPr>
          <w:rFonts w:ascii="DM Sans" w:cs="DM Sans" w:eastAsia="DM Sans" w:hAnsi="DM Sans"/>
          <w:b/>
          <w:bCs/>
          <w:color w:val="14213D"/>
          <w:sz w:val="22"/>
          <w:szCs w:val="22"/>
        </w:rPr>
        <w:t xml:space="preserve">"Kan PostgreSQL onze Oracle-database vervangen?"</w:t>
      </w:r>
    </w:p>
    <w:p>
      <w:pPr>
        <w:spacing w:after="160"/>
      </w:pPr>
      <w:r>
        <w:rPr>
          <w:rFonts w:ascii="DM Sans" w:cs="DM Sans" w:eastAsia="DM Sans" w:hAnsi="DM Sans"/>
          <w:color w:val="14213D"/>
          <w:sz w:val="22"/>
          <w:szCs w:val="22"/>
        </w:rPr>
        <w:t xml:space="preserve">Technisch vrijwel altijd; qua migratie-inspanning hangt het volledig af van hoeveel PL/SQL en Oracle-specifieke functionaliteit er in de applicatie zit. Niet toezeggen. Verwijs naar niveau 3, deel 27.</w:t>
      </w:r>
    </w:p>
    <w:p>
      <w:pPr>
        <w:spacing w:after="160"/>
      </w:pPr>
      <w:r>
        <w:rPr>
          <w:rFonts w:ascii="DM Sans" w:cs="DM Sans" w:eastAsia="DM Sans" w:hAnsi="DM Sans"/>
          <w:b/>
          <w:bCs/>
          <w:color w:val="14213D"/>
          <w:sz w:val="22"/>
          <w:szCs w:val="22"/>
        </w:rPr>
        <w:t xml:space="preserve">"Is `jsonb` niet gewoon een halfslachtige MongoDB?"</w:t>
      </w:r>
    </w:p>
    <w:p>
      <w:pPr>
        <w:spacing w:after="160"/>
      </w:pPr>
      <w:r>
        <w:rPr>
          <w:rFonts w:ascii="DM Sans" w:cs="DM Sans" w:eastAsia="DM Sans" w:hAnsi="DM Sans"/>
          <w:color w:val="14213D"/>
          <w:sz w:val="22"/>
          <w:szCs w:val="22"/>
        </w:rPr>
        <w:t xml:space="preserve">Nee, en dit is een goede vraag om serieus te nemen.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 geeft je documentopslag mét transacties, joins en constraints in dezelfde database. Wat je niet krijgt is MongoDB's horizontale schaalmodel. Voor de meeste administratieve toepassingen is dat een goede ruil; voor werkelijk enorme documentvolumes niet.</w:t>
      </w:r>
    </w:p>
    <w:p>
      <w:pPr>
        <w:spacing w:after="160"/>
      </w:pPr>
      <w:r>
        <w:rPr>
          <w:rFonts w:ascii="DM Sans" w:cs="DM Sans" w:eastAsia="DM Sans" w:hAnsi="DM Sans"/>
          <w:b/>
          <w:bCs/>
          <w:color w:val="14213D"/>
          <w:sz w:val="22"/>
          <w:szCs w:val="22"/>
        </w:rPr>
        <w:t xml:space="preserve">"Hoeveel kost een supportcontract dan?"</w:t>
      </w:r>
    </w:p>
    <w:p>
      <w:pPr>
        <w:spacing w:after="160"/>
      </w:pPr>
      <w:r>
        <w:rPr>
          <w:rFonts w:ascii="DM Sans" w:cs="DM Sans" w:eastAsia="DM Sans" w:hAnsi="DM Sans"/>
          <w:color w:val="14213D"/>
          <w:sz w:val="22"/>
          <w:szCs w:val="22"/>
        </w:rPr>
        <w:t xml:space="preserve">Geef geen bedragen — die verouderen en verschillen per leverancier en per omvang. Zeg wat de kostendrijvers zijn (aantal instanties, reactietijd, wel/geen 24/7, wel/niet productie) en dat het bij een omgeving als Meridiaan doorgaans een fractie is van een equivalente enterprise-licentie. Wie een indicatie nodig heeft, moet offertes opvragen.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p>
      <w:pPr>
        <w:spacing w:after="160"/>
      </w:pPr>
      <w:r>
        <w:rPr>
          <w:rFonts w:ascii="DM Sans" w:cs="DM Sans" w:eastAsia="DM Sans" w:hAnsi="DM Sans"/>
          <w:color w:val="14213D"/>
          <w:sz w:val="22"/>
          <w:szCs w:val="22"/>
        </w:rPr>
        <w:t xml:space="preserve">Dit deel kent geen toets. De adviesnota uit opdracht 1.6 wordt wel bewaard: hij komt terug in deel 10 (capstone), waar deelnemers hun oorspronkelijke advies naast de gebouwde oplossing leggen en beoordelen wat ze anders zouden formuleren.</w:t>
      </w:r>
    </w:p>
    <w:p>
      <w:pPr>
        <w:spacing w:after="160"/>
      </w:pPr>
      <w:r>
        <w:rPr>
          <w:rFonts w:ascii="DM Sans" w:cs="DM Sans" w:eastAsia="DM Sans" w:hAnsi="DM Sans"/>
          <w:color w:val="14213D"/>
          <w:sz w:val="22"/>
          <w:szCs w:val="22"/>
        </w:rPr>
        <w:t xml:space="preserve">Informele voortgangsindicatoren voor de docent: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 noemt bij 1.2 spontaan een nuance ("kan ook met partitionering")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Goed niveau, kan in deel 2 tempo aan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 kiest bij 1.3 consequent ACID voor alles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Heeft het afwegingsprincipe niet te pakken; kort naspreken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Risicoparagraaf 1.6 gaat over het afgewezen alternatief</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Klassieke adviesfout; komt terug in deel 10</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 bagatelliseert Ruuds zorg bij 1.4</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Let hierop bij de rollenspellen in latere delen</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Aansluiting op deel 2</w:t>
      </w:r>
    </w:p>
    <w:p>
      <w:pPr>
        <w:spacing w:after="160"/>
      </w:pPr>
      <w:r>
        <w:rPr>
          <w:rFonts w:ascii="DM Sans" w:cs="DM Sans" w:eastAsia="DM Sans" w:hAnsi="DM Sans"/>
          <w:color w:val="14213D"/>
          <w:sz w:val="22"/>
          <w:szCs w:val="22"/>
        </w:rPr>
        <w:t xml:space="preserve">Sluit af met de brug: </w:t>
      </w:r>
      <w:r>
        <w:rPr>
          <w:rFonts w:ascii="DM Sans" w:cs="DM Sans" w:eastAsia="DM Sans" w:hAnsi="DM Sans"/>
          <w:i/>
          <w:iCs/>
          <w:color w:val="14213D"/>
          <w:sz w:val="22"/>
          <w:szCs w:val="22"/>
        </w:rPr>
        <w:t xml:space="preserve">"We hebben nu besloten waarom PostgreSQL. Volgende keer kijken we onder de motorkap: wat gebeurt er werkelijk tussen het moment dat je op Enter drukt en het moment dat er een antwoord terugkomt?"</w:t>
      </w:r>
    </w:p>
    <w:p>
      <w:pPr>
        <w:spacing w:after="160"/>
      </w:pPr>
      <w:r>
        <w:rPr>
          <w:rFonts w:ascii="DM Sans" w:cs="DM Sans" w:eastAsia="DM Sans" w:hAnsi="DM Sans"/>
          <w:color w:val="14213D"/>
          <w:sz w:val="22"/>
          <w:szCs w:val="22"/>
        </w:rPr>
        <w:t xml:space="preserve">Vraag deelnemers om vóór deel 2 PostgreSQL lokaal te installeren volgens de Toolbijlage. Wie dat niet lukt, moet zich vooraf melden — deel 2 begint met een gezamenlijke verkenning van het datadirectory en zonder werkende installatie mist die deelnemer de helft.</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1.</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2026-08-17T10:11:00.132Z</dcterms:created>
  <dcterms:modified xsi:type="dcterms:W3CDTF">2026-08-17T10:11:00.132Z</dcterms:modified>
</cp:coreProperties>
</file>

<file path=docProps/custom.xml><?xml version="1.0" encoding="utf-8"?>
<Properties xmlns="http://schemas.openxmlformats.org/officeDocument/2006/custom-properties" xmlns:vt="http://schemas.openxmlformats.org/officeDocument/2006/docPropsVTypes"/>
</file>