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30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Databasemanagement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30 — Werkboek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Cursus Databasemanagement — Niveau 3, deel 30: Niveau-3-capstone en afsluiting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Werkboek met de capstone-opdracht, panelvragen en volledige uitwerkingen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Vooraf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Dit werkboek heeft een andere vorm dan de voorgaande: geen losse deelopdrachten, maar één doorlopende hoofdopdracht (het vijfjarenplan) gevolgd door een gesimuleerde verdediging. Werk in dezelfde projectgroep als bij eerdere hoofdopdrachten indien mogelijk, voor consistentie in de aanpak.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Tijdsindicatie: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schriftelijk plan circa 90 minuten, verdediging circa 60 minuten (inclusief voorbereiding per groep).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Het vijfjarenplan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30.1 — Het vijfjarenplan schrijven (90 min, drietallen)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Schrijf het vijfjarenplan uit paragraaf 3-4 van de reader, maximaal drie A4. Behandel expliciet: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Multi-tenancy: houdbaarheid van de huidige keuze bij groei naar 10-15 fondsen.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Sharding: het concrete signaal, en de kans dat het zich binnen vijf jaar voordoet.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Federatie: hoe de rapportagelaag moet meegroeien.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Event sourcing: of de aangescherpte audit-eis het advies uit deel 27 verandert.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Geo-distributie: het eerste-stap-advies bij de fusiescenario.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Synthese: een onderbouwde prioriteitsvolgorde over alle vijf.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Bewaar dit plan — het is de basis voor de verdediging in opdracht 30.2.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30.2 — De verdediging voorbereiden en uitvoeren (60 min, groepen + docent/medecursisten als panel)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a) Wijs binnen de groep rollen toe: wie presenteert welk onderdeel.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b) Presenteer het plan in maximaal tien minuten aan het panel (docent en/of medecursisten spelen Femke, Tarik, Ruud, Sanne).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c) Beantwoord minstens twee vragen per panellid.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d) Noteer na afloop: welke vraag was het lastigst, en waarom?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B — Voorbeeldvragen per panellid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Gebruik deze als voorbereiding of als vragenbank voor wie het panel speelt. Dit zijn voorbeelden, geen uitputtende lijst — een goed panellid stelt ook eigen, spontane vragen vanuit zijn rol.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Femke (samenhang en haalbaarheid)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"Als drie van deze vijf aanbevelingen tegelijk acuut worden, wat doen we het eerst en waarom?"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"Welke van je aannames, als die verkeerd blijkt, zou het hele plan onderuit halen?"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"Je noemt overal 'nog niet nodig' — wanneer zou ik, als architect, dit plan opnieuw op tafel moeten leggen?"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Tarik (Meridiaans belang specifiek)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"Wat verandert er voor Meridiaan specifiek als de federatie naar vijftien fondsen groeit — blijven we op patroon 2, of niet?"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"Als Meridiaan zelf ooit moet shardten, los van de federatie, verandert dat iets aan je sharding-advies?"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"Waarom zou Meridiaan instemmen met investeringen in geo-distributie-kennis als wij zelf niet internationaal actief zijn?"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Ruud (operationele haalbaarheid)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"Als we morgen zouden beginnen met event sourcing voor aanspraakopbouw, hebben we dan de kennis in huis, of moeten we die eerst opbouwen?"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"Wat kost dit plan aan extra monitoring- en beheerlast, concreet, bovenop wat we al doen?"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"Welk onderdeel van dit plan zou, als we het fout implementeren, het grootste operationele risico opleveren?"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Sanne (AVG en dataresidentie)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"Als de fusie met het internationale fonds doorgaat, wat gebeurt er met bestaande crypto-shredding-sleutels als data naar een nieuwe regio verhuist?"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"Blijft dataminimalisatie overeind in je federatie-rapportagevoorstel, of neemt de reikwijdte van de rapportage toe naarmate er meer fondsen bijkomen?"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"Welk onderdeel van dit plan heeft de grootste AVG-blootstelling, en hoe beperk je die?"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30.1 — modelantwoord (verkort)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Vijfjarenplan Pensioenfederatie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1. Multi-tenancy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 huidige keuze (patroon 2 voor Meridiaan/Kompas, patroon 3 voor Baken, deel 23) blijft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grotendeels houdbaar tot ongeveer tien fondsen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mits nieuwe fondsen met een vergelijkbaar profiel als Meridiaan/Kompas op patroon 2 worden aangesloten. Bij groei richting vijftien fondsen wordt patroon 2 beheersmatig zwaarder (deel 23, paragraaf 6: elke migratie moet per schema herhaald worden) —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aanbeveling: bij het tiende fonds een evaluatiemoment inbouwen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om te bepalen of automatisering van schema-brede migraties (een script dat alle schema's tegelijk bijwerkt, zoals in opdracht 23.3d geoefend) geformaliseerd moet worden.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2. Sharding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Het concrete signaal blijft ongewijzigd sinds deel 24: een aangetoonde, gemeten capaciteitsgrens die verticaal schalen en partitionering niet meer oplossen.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groei naar vijftien fondsen van vergelijkbare omvang als de huidige drie is dat signaal binnen vijf jaar niet waarschijnlijk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(vergelijkbare berekening als opdracht 24.1) — tenzij de groei sneller gaat dan het geschetste scenario, of een van de fondsen een sterk afwijkend, Baken-achtig profiel heeft.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Aanbeveling: het signaal jaarlijks herberekenen als onderdeel van capaciteitsplanning, niet vooraf shardten.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3. Federatie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Bij drie fondsen volstaat de FDW-gebaseerde rapportagelaag uit deel 26. Bij groei naar tien tot vijftien fondsen wordt een live, federatieve </w:t>
      </w:r>
      <w:r>
        <w:rPr>
          <w:rFonts w:ascii="DM Mono" w:cs="DM Mono" w:eastAsia="DM Mono" w:hAnsi="DM Mono"/>
          <w:color w:val="14213D"/>
          <w:sz w:val="22"/>
          <w:szCs w:val="22"/>
        </w:rPr>
        <w:t xml:space="preserve">UNION ALL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over zoveel bronnen (deel 26, paragraaf 7) merkbaar duurder —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aanbeveling: bij ongeveer acht tot tien fondsen overschakelen op de materialized-view-variant (deel 26, paragraaf 10) als standaard, in plaats van als uitzondering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om de belasting op steeds meer bronservers te beperken.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4. Event sourcing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aangescherpte audit-eis van de toezichthouder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versterkt het argument voor het bestaande advies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27: aanspraakopbouw en dienstverbandverloop) eerder dan dat het een uitbreiding noodzakelijk maakt — dat domein was al gekozen vanwege de audit-zwaarte.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Aanbeveling: pas heroverwegen als de aangescherpte eis specifiek een ander domein (bijvoorbeeld contactgegevens) audit-plichtig maakt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wat op dit moment niet aan de orde is.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5. Geo-distributie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Bij een fusie met een internationaal actief fonds: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begin met topologie 1 (read-replica's, deel 29 §7)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voor de nieuwe, buitenlandse deelnemers, gecombineerd met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geo-partitionering (deel 29 §11)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zodra duidelijk is welke landen structureel vertegenwoordigd zijn.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Vermijd actief-actief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tenzij blijkt dat buitenlandse deelnemers structureel en frequent schrijfverkeer genereren vanuit hun eigen regio — op basis van het geschetste scenario (enkele duizenden deelnemers) is dat niet waarschijnlijk.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6. Prioriteitsvolgorde</w:t>
      </w:r>
    </w:p>
    <w:p>
      <w:pPr>
        <w:pStyle w:val="ListParagraph"/>
        <w:numPr>
          <w:ilvl w:val="0"/>
          <w:numId w:val="4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Federatie-schaalvoorbereiding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(hoogste waarschijnlijkheid — groei naar meer fondsen is het meest concrete scenario).</w:t>
      </w:r>
    </w:p>
    <w:p>
      <w:pPr>
        <w:pStyle w:val="ListParagraph"/>
        <w:numPr>
          <w:ilvl w:val="0"/>
          <w:numId w:val="4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Geo-distributie-eerste-stap-kennis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(middelhoge waarschijnlijkheid, afhankelijk van de fusie — voorbereidende kennis nu, geen implementatie).</w:t>
      </w:r>
    </w:p>
    <w:p>
      <w:pPr>
        <w:pStyle w:val="ListParagraph"/>
        <w:numPr>
          <w:ilvl w:val="0"/>
          <w:numId w:val="4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Multi-tenancy-evaluatiemoment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(zekere gebeurtenis bij voldoende groei, maar pas relevant bij het tiende fonds).</w:t>
      </w:r>
    </w:p>
    <w:p>
      <w:pPr>
        <w:pStyle w:val="ListParagraph"/>
        <w:numPr>
          <w:ilvl w:val="0"/>
          <w:numId w:val="4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Sharding-signaal jaarlijks herijken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(lage waarschijnlijkheid binnen vijf jaar, maar goedkoop om te blijven monitoren).</w:t>
      </w:r>
    </w:p>
    <w:p>
      <w:pPr>
        <w:pStyle w:val="ListParagraph"/>
        <w:numPr>
          <w:ilvl w:val="0"/>
          <w:numId w:val="4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Event sourcing-scope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(laagste prioriteit — het huidige advies staat, geen actie nodig tenzij de audit-eis zelf wijzigt).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Uitwerking 30.2 — richtlijnen voor de verdediging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Er is geen enkel "juist" antwoord op de panelvragen in deel B — de kwaliteit zit in de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consistentie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tussen het geschreven plan en de mondelinge verdediging, en in het vermogen om nieuwe, onvoorziene vragen te herleiden naar het juiste onderdeel van het plan.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Sterke signalen tijdens de verdediging: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panelvraag die niet letterlijk in het plan stond, wordt beantwoord door terug te grijpen naar een principe uit niveau 3 (bijvoorbeeld: "dat raakt ons sharding-signaal uit paragraaf 2, en op basis daarvan zou het antwoord zijn...") in plaats van een nieuw, losstaand antwoord te verzinnen.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zwak punt in het eigen plan (bijvoorbeeld een prioriteit die bij nader inzien twijfelachtig is) wordt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erkend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plaats van verdedigd tot elke prijs — vergelijkbaar met de niveau-2-capstone-les dat foute eerste vermoedens die tijdens de diagnose zelf gecorrigeerd worden, een sterker signaal van beheersing zijn dan een toevallig meteen juist antwoord.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Elk antwoord blijft consistent met de "nog niet nodig, wel de kennis"-discipline — een groep die onder druk van Ruuds operationele vraag opeens voorstelt om morgen te beginnen met sharding "voor de zekerheid", heeft de rode draad van niveau 3 losgelaten.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het nabespreken: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elke groep welke panelvraag het lastigst was (onderdeel d van opdracht 30.2), en bespreek gezamenlijk of het antwoord ter plekke, achteraf bezien, consistent was met de rest van het plan. Net als bij de niveau-2-capstone is dit nabespreekmoment net zo leerzaam als de verdediging zelf.</w:t>
      </w:r>
    </w:p>
    <w:p>
      <w:pPr>
        <w:pBdr>
          <w:bottom w:val="single" w:color="DFDCD3" w:sz="6" w:space="4"/>
        </w:pBdr>
        <w:spacing w:after="120" w:before="120"/>
      </w:pP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Einde werkboek deel 30 en van niveau 3.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Requirements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2026-08-17T10:11:06.628Z</dcterms:created>
  <dcterms:modified xsi:type="dcterms:W3CDTF">2026-08-17T10:11:06.628Z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