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Document en key-value in de praktijk — Docentenhandleiding</w:t>
      </w:r>
    </w:p>
    <w:p>
      <w:pPr>
        <w:spacing w:after="800" w:before="200"/>
        <w:jc w:val="center"/>
      </w:pPr>
      <w:r>
        <w:rPr>
          <w:rFonts w:ascii="DM Sans" w:cs="DM Sans" w:eastAsia="DM Sans" w:hAnsi="DM Sans"/>
          <w:color w:val="55606F"/>
          <w:sz w:val="26"/>
          <w:szCs w:val="26"/>
        </w:rPr>
        <w:t xml:space="preserve">NoSQL-elective · Databasemanagement</w:t>
      </w:r>
    </w:p>
    <w:p>
      <w:r>
        <w:br w:type="page"/>
      </w:r>
    </w:p>
    <w:p>
      <w:pPr>
        <w:pStyle w:val="Heading1"/>
      </w:pPr>
      <w:r>
        <w:rPr>
          <w:rFonts w:ascii="DM Sans" w:cs="DM Sans" w:eastAsia="DM Sans" w:hAnsi="DM Sans"/>
          <w:color w:val="14213D"/>
          <w:sz w:val="22"/>
          <w:szCs w:val="22"/>
        </w:rPr>
        <w:t xml:space="preserve">NoSQL-elective, deel 1 — Docentenhandleiding</w:t>
      </w:r>
    </w:p>
    <w:p>
      <w:pPr>
        <w:spacing w:after="160"/>
      </w:pPr>
      <w:r>
        <w:rPr>
          <w:rFonts w:ascii="DM Sans" w:cs="DM Sans" w:eastAsia="DM Sans" w:hAnsi="DM Sans"/>
          <w:b/>
          <w:bCs/>
          <w:color w:val="14213D"/>
          <w:sz w:val="22"/>
          <w:szCs w:val="22"/>
        </w:rPr>
        <w:t xml:space="preserve">Cursus Databasemanagement — Elective, niveau 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Doel van dit dagdeel</w:t>
      </w:r>
    </w:p>
    <w:p>
      <w:pPr>
        <w:spacing w:after="160"/>
      </w:pPr>
      <w:r>
        <w:rPr>
          <w:rFonts w:ascii="DM Sans" w:cs="DM Sans" w:eastAsia="DM Sans" w:hAnsi="DM Sans"/>
          <w:color w:val="14213D"/>
          <w:sz w:val="22"/>
          <w:szCs w:val="22"/>
        </w:rPr>
        <w:t xml:space="preserve">Deelnemers hebben in deel 21 geleerd wanneer NoSQL naast PostgreSQL een verdedigbare keuze is, maar zonder er ooit een regel code van te zien. Dit dagdeel maakt twee van de vier scenario's uit deel 21 (cache-laag, documentopslag) tastbaar: deelnemers ontwerpen een sessieobject in Redis en een documentstructuur in MongoDB, en oefenen de grondvraag "is dit een gemeten knelpunt of enthousiasme" op een nieuw scenario.</w:t>
      </w:r>
    </w:p>
    <w:p>
      <w:pPr>
        <w:pStyle w:val="Heading2"/>
      </w:pPr>
      <w:r>
        <w:rPr>
          <w:rFonts w:ascii="DM Sans" w:cs="DM Sans" w:eastAsia="DM Sans" w:hAnsi="DM Sans"/>
          <w:color w:val="14213D"/>
          <w:sz w:val="22"/>
          <w:szCs w:val="22"/>
        </w:rPr>
        <w:t xml:space="preserve">Voorbereiding</w:t>
      </w:r>
    </w:p>
    <w:p>
      <w:pPr>
        <w:pStyle w:val="ListParagraph"/>
        <w:numPr>
          <w:ilvl w:val="0"/>
          <w:numId w:val="2"/>
        </w:numPr>
      </w:pPr>
      <w:r>
        <w:rPr>
          <w:rFonts w:ascii="DM Sans" w:cs="DM Sans" w:eastAsia="DM Sans" w:hAnsi="DM Sans"/>
          <w:color w:val="14213D"/>
          <w:sz w:val="22"/>
          <w:szCs w:val="22"/>
        </w:rPr>
        <w:t xml:space="preserve">Ververs paragraaf 13 en 14 van deel 21 in het geheugen — dit deel bouwt er direct op voort en veronderstelt dat de vier scenario's bekend zijn.</w:t>
      </w:r>
    </w:p>
    <w:p>
      <w:pPr>
        <w:pStyle w:val="ListParagraph"/>
        <w:numPr>
          <w:ilvl w:val="0"/>
          <w:numId w:val="2"/>
        </w:numPr>
      </w:pPr>
      <w:r>
        <w:rPr>
          <w:rFonts w:ascii="DM Sans" w:cs="DM Sans" w:eastAsia="DM Sans" w:hAnsi="DM Sans"/>
          <w:color w:val="14213D"/>
          <w:sz w:val="22"/>
          <w:szCs w:val="22"/>
        </w:rPr>
        <w:t xml:space="preserve">Geen eigen Redis/MongoDB-installatie nodig voor dit dagdeel: de opdrachten zijn ontwerp- en leesopdrachten, geen hands-on database-oefeningen (in lijn met de "kort, geen aparte certificeringslijn"-scope van deze elective).</w:t>
      </w:r>
    </w:p>
    <w:p>
      <w:pPr>
        <w:pStyle w:val="ListParagraph"/>
        <w:numPr>
          <w:ilvl w:val="0"/>
          <w:numId w:val="2"/>
        </w:numPr>
      </w:pPr>
      <w:r>
        <w:rPr>
          <w:rFonts w:ascii="DM Sans" w:cs="DM Sans" w:eastAsia="DM Sans" w:hAnsi="DM Sans"/>
          <w:color w:val="14213D"/>
          <w:sz w:val="22"/>
          <w:szCs w:val="22"/>
        </w:rPr>
        <w:t xml:space="preserve">Heb de tabel uit deel 21 paragraaf 12 ("wat PostgreSQL al dekt") bij de hand — verwacht dat deelnemers die erbij halen om te toetsen of een NoSQL-oplossing hier echt nodig is.</w:t>
      </w:r>
    </w:p>
    <w:p>
      <w:pPr>
        <w:pStyle w:val="Heading2"/>
      </w:pPr>
      <w:r>
        <w:rPr>
          <w:rFonts w:ascii="DM Sans" w:cs="DM Sans" w:eastAsia="DM Sans" w:hAnsi="DM Sans"/>
          <w:color w:val="14213D"/>
          <w:sz w:val="22"/>
          <w:szCs w:val="22"/>
        </w:rPr>
        <w:t xml:space="preserve">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deel 21, paragraaf 13-14 — de vier scenario's kort herhalen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0:15–0:40</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Redis: datastructuren, TTL, cache-invalidatiestrategieën (paragraaf 3)</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0:40–0:55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Opdracht EL1.1 en EL1.2, klassikaal bespreken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0:55–1:20</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MongoDB: embedding versus referencing (paragraaf 5-6)</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1:20–1:35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Opdracht EL1.3</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1:35–1:55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Consistentie-vraagstuk (paragraaf 7) + opdracht EL1.4 (hoofdopdracht)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1:55–2:00</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Vooruitblik naar elective-deel 2</w:t>
            </w:r>
          </w:p>
        </w:tc>
      </w:tr>
    </w:tbl>
    <w:p>
      <w:pPr>
        <w:spacing w:after="160"/>
      </w:pPr>
    </w:p>
    <w:p>
      <w:pPr>
        <w:pStyle w:val="Heading2"/>
      </w:pPr>
      <w:r>
        <w:rPr>
          <w:rFonts w:ascii="DM Sans" w:cs="DM Sans" w:eastAsia="DM Sans" w:hAnsi="DM Sans"/>
          <w:color w:val="14213D"/>
          <w:sz w:val="22"/>
          <w:szCs w:val="22"/>
        </w:rPr>
        <w:t xml:space="preserve">Didactische aanwijzingen per onderdeel</w:t>
      </w:r>
    </w:p>
    <w:p>
      <w:pPr>
        <w:spacing w:after="160"/>
      </w:pPr>
      <w:r>
        <w:rPr>
          <w:rFonts w:ascii="DM Sans" w:cs="DM Sans" w:eastAsia="DM Sans" w:hAnsi="DM Sans"/>
          <w:b/>
          <w:bCs/>
          <w:color w:val="14213D"/>
          <w:sz w:val="22"/>
          <w:szCs w:val="22"/>
        </w:rPr>
        <w:t xml:space="preserve">Terugblik (0:00–0:15).</w:t>
      </w:r>
      <w:r>
        <w:rPr>
          <w:rFonts w:ascii="DM Sans" w:cs="DM Sans" w:eastAsia="DM Sans" w:hAnsi="DM Sans"/>
          <w:color w:val="14213D"/>
          <w:sz w:val="22"/>
          <w:szCs w:val="22"/>
        </w:rPr>
        <w:t xml:space="preserve"> Vraag de zaal de vier scenario's uit deel 21 uit het hoofd te noemen vóór je ze zelf opnoemt — dit is een goede peiling van wat is blijven hangen.</w:t>
      </w:r>
    </w:p>
    <w:p>
      <w:pPr>
        <w:spacing w:after="160"/>
      </w:pPr>
      <w:r>
        <w:rPr>
          <w:rFonts w:ascii="DM Sans" w:cs="DM Sans" w:eastAsia="DM Sans" w:hAnsi="DM Sans"/>
          <w:b/>
          <w:bCs/>
          <w:color w:val="14213D"/>
          <w:sz w:val="22"/>
          <w:szCs w:val="22"/>
        </w:rPr>
        <w:t xml:space="preserve">Redis (0:15–0:40).</w:t>
      </w:r>
      <w:r>
        <w:rPr>
          <w:rFonts w:ascii="DM Sans" w:cs="DM Sans" w:eastAsia="DM Sans" w:hAnsi="DM Sans"/>
          <w:color w:val="14213D"/>
          <w:sz w:val="22"/>
          <w:szCs w:val="22"/>
        </w:rPr>
        <w:t xml:space="preserve"> Het belangrijkste leerpunt is niet de syntax maar het onderscheid uit paragraaf 4: welke data hoort wél en niet in de cache. Laat deelnemers zelf een derde voorbeeld bedenken (naast naam/taal en saldo) en classificeren — dat oefent het onderscheid actiever dan het voorbeeld overnemen.</w:t>
      </w:r>
    </w:p>
    <w:p>
      <w:pPr>
        <w:spacing w:after="160"/>
      </w:pPr>
      <w:r>
        <w:rPr>
          <w:rFonts w:ascii="DM Sans" w:cs="DM Sans" w:eastAsia="DM Sans" w:hAnsi="DM Sans"/>
          <w:b/>
          <w:bCs/>
          <w:color w:val="14213D"/>
          <w:sz w:val="22"/>
          <w:szCs w:val="22"/>
        </w:rPr>
        <w:t xml:space="preserve">MongoDB (0:55–1:20).</w:t>
      </w:r>
      <w:r>
        <w:rPr>
          <w:rFonts w:ascii="DM Sans" w:cs="DM Sans" w:eastAsia="DM Sans" w:hAnsi="DM Sans"/>
          <w:color w:val="14213D"/>
          <w:sz w:val="22"/>
          <w:szCs w:val="22"/>
        </w:rPr>
        <w:t xml:space="preserve"> De parallel met normalisatie (deel 5) is de kern van deze paragraaf. Als deelnemers embedding afdoen als "gewoon slordig", herinner ze eraan dat het een bewuste ontwerpkeuze is met een reëel voordeel (minder joins), niet een gebrek aan discipline.</w:t>
      </w:r>
    </w:p>
    <w:p>
      <w:pPr>
        <w:spacing w:after="160"/>
      </w:pPr>
      <w:r>
        <w:rPr>
          <w:rFonts w:ascii="DM Sans" w:cs="DM Sans" w:eastAsia="DM Sans" w:hAnsi="DM Sans"/>
          <w:b/>
          <w:bCs/>
          <w:color w:val="14213D"/>
          <w:sz w:val="22"/>
          <w:szCs w:val="22"/>
        </w:rPr>
        <w:t xml:space="preserve">Opdracht EL1.4 (hoofdopdracht).</w:t>
      </w:r>
      <w:r>
        <w:rPr>
          <w:rFonts w:ascii="DM Sans" w:cs="DM Sans" w:eastAsia="DM Sans" w:hAnsi="DM Sans"/>
          <w:color w:val="14213D"/>
          <w:sz w:val="22"/>
          <w:szCs w:val="22"/>
        </w:rPr>
        <w:t xml:space="preserve"> Dit is de zwaarste opdracht van het dagdeel — een nieuw scenario dat in geen van de vier klassieke categorieën netjes past. Verwacht niet dat elke deelnemer "similarity search"/</w:t>
      </w:r>
      <w:r>
        <w:rPr>
          <w:rFonts w:ascii="DM Mono" w:cs="DM Mono" w:eastAsia="DM Mono" w:hAnsi="DM Mono"/>
          <w:color w:val="14213D"/>
          <w:sz w:val="22"/>
          <w:szCs w:val="22"/>
        </w:rPr>
        <w:t xml:space="preserve">pgvector</w:t>
      </w:r>
      <w:r>
        <w:rPr>
          <w:rFonts w:ascii="DM Sans" w:cs="DM Sans" w:eastAsia="DM Sans" w:hAnsi="DM Sans"/>
          <w:color w:val="14213D"/>
          <w:sz w:val="22"/>
          <w:szCs w:val="22"/>
        </w:rPr>
        <w:t xml:space="preserve"> zelf noemt; het leerdoel is dat ze de grondvraag (concreet knelpunt, geen aanname) correct toepassen, niet dat ze het exacte antwoord raden. Stuur bij als nodig, maar laat de eigen redenering staan.</w:t>
      </w:r>
    </w:p>
    <w:p>
      <w:pPr>
        <w:pStyle w:val="Heading2"/>
      </w:pPr>
      <w:r>
        <w:rPr>
          <w:rFonts w:ascii="DM Sans" w:cs="DM Sans" w:eastAsia="DM Sans" w:hAnsi="DM Sans"/>
          <w:color w:val="14213D"/>
          <w:sz w:val="22"/>
          <w:szCs w:val="22"/>
        </w:rPr>
        <w:t xml:space="preserve">Veelgestelde vragen</w:t>
      </w:r>
    </w:p>
    <w:p>
      <w:pPr>
        <w:spacing w:after="160"/>
      </w:pPr>
      <w:r>
        <w:rPr>
          <w:rFonts w:ascii="DM Sans" w:cs="DM Sans" w:eastAsia="DM Sans" w:hAnsi="DM Sans"/>
          <w:b/>
          <w:bCs/>
          <w:color w:val="14213D"/>
          <w:sz w:val="22"/>
          <w:szCs w:val="22"/>
        </w:rPr>
        <w:t xml:space="preserve">"Moeten we dit ook echt kunnen installeren en gebruiken?"</w:t>
      </w:r>
    </w:p>
    <w:p>
      <w:pPr>
        <w:spacing w:after="160"/>
      </w:pPr>
      <w:r>
        <w:rPr>
          <w:rFonts w:ascii="DM Sans" w:cs="DM Sans" w:eastAsia="DM Sans" w:hAnsi="DM Sans"/>
          <w:color w:val="14213D"/>
          <w:sz w:val="22"/>
          <w:szCs w:val="22"/>
        </w:rPr>
        <w:t xml:space="preserve">Nee — deze elective is bewust ontwerp- en leesgericht, geen extra certificeringstraject. Wie op eigen initiatief Redis of MongoDB wil proberen: prima, maar geen onderdeel van de beoordeling.</w:t>
      </w:r>
    </w:p>
    <w:p>
      <w:pPr>
        <w:spacing w:after="160"/>
      </w:pPr>
      <w:r>
        <w:rPr>
          <w:rFonts w:ascii="DM Sans" w:cs="DM Sans" w:eastAsia="DM Sans" w:hAnsi="DM Sans"/>
          <w:b/>
          <w:bCs/>
          <w:color w:val="14213D"/>
          <w:sz w:val="22"/>
          <w:szCs w:val="22"/>
        </w:rPr>
        <w:t xml:space="preserve">"Waarom niet gewoon altijd PostgreSQL met jsonb, zoals deel 21 aanraadt?"</w:t>
      </w:r>
    </w:p>
    <w:p>
      <w:pPr>
        <w:spacing w:after="160"/>
      </w:pPr>
      <w:r>
        <w:rPr>
          <w:rFonts w:ascii="DM Sans" w:cs="DM Sans" w:eastAsia="DM Sans" w:hAnsi="DM Sans"/>
          <w:color w:val="14213D"/>
          <w:sz w:val="22"/>
          <w:szCs w:val="22"/>
        </w:rPr>
        <w:t xml:space="preserve">Voor de meeste gevallen is dat inderdaad het juiste startpunt. Dit dagdeel laat zien hoe het alternatief eruitziet zodat een deelnemer, wanneer ze ooit wél een gemeten knelpunt tegenkomen, weten wat de bouwstenen zijn — niet dat ze bij twijfel naar NoSQL moeten grijpen.</w:t>
      </w:r>
    </w:p>
    <w:p>
      <w:pPr>
        <w:spacing w:after="160"/>
      </w:pPr>
      <w:r>
        <w:rPr>
          <w:rFonts w:ascii="DM Sans" w:cs="DM Sans" w:eastAsia="DM Sans" w:hAnsi="DM Sans"/>
          <w:b/>
          <w:bCs/>
          <w:color w:val="14213D"/>
          <w:sz w:val="22"/>
          <w:szCs w:val="22"/>
        </w:rPr>
        <w:t xml:space="preserve">"Is Elasticsearch niet ook een documentstore?"</w:t>
      </w:r>
    </w:p>
    <w:p>
      <w:pPr>
        <w:spacing w:after="160"/>
      </w:pPr>
      <w:r>
        <w:rPr>
          <w:rFonts w:ascii="DM Sans" w:cs="DM Sans" w:eastAsia="DM Sans" w:hAnsi="DM Sans"/>
          <w:color w:val="14213D"/>
          <w:sz w:val="22"/>
          <w:szCs w:val="22"/>
        </w:rPr>
        <w:t xml:space="preserve">Technisch verwant, maar functioneel anders gepositioneerd — Elasticsearch is zoek-georiënteerd en komt in deel 21's rijtje apart terug; MongoDB in dit dagdeel is een algemene documentstore. De volgende elective-sessie (deel 2) behandelt geen Elasticsearch expliciet — dat blijft bij de conceptuele behandeling uit deel 21.</w:t>
      </w:r>
    </w:p>
    <w:p>
      <w:pPr>
        <w:pStyle w:val="Heading2"/>
      </w:pPr>
      <w:r>
        <w:rPr>
          <w:rFonts w:ascii="DM Sans" w:cs="DM Sans" w:eastAsia="DM Sans" w:hAnsi="DM Sans"/>
          <w:color w:val="14213D"/>
          <w:sz w:val="22"/>
          <w:szCs w:val="22"/>
        </w:rPr>
        <w:t xml:space="preserve">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Weegt mee als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EL1.1–EL1.3</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Voldoende onderbouwing van de ontwerpkeuze, niet één "juist" antwoord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EL1.4</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Correcte toepassing van de grondvraag (toegangspatroon, meetbaar knelpunt, meerkost) — zie de drie beoordelingspunten in het werkboek</w:t>
            </w:r>
          </w:p>
        </w:tc>
      </w:tr>
    </w:tbl>
    <w:p>
      <w:pPr>
        <w:spacing w:after="160"/>
      </w:pPr>
    </w:p>
    <w:p>
      <w:pPr>
        <w:pStyle w:val="Heading2"/>
      </w:pPr>
      <w:r>
        <w:rPr>
          <w:rFonts w:ascii="DM Sans" w:cs="DM Sans" w:eastAsia="DM Sans" w:hAnsi="DM Sans"/>
          <w:color w:val="14213D"/>
          <w:sz w:val="22"/>
          <w:szCs w:val="22"/>
        </w:rPr>
        <w:t xml:space="preserve">Aansluiting op volgend deel</w:t>
      </w:r>
    </w:p>
    <w:p>
      <w:pPr>
        <w:spacing w:after="160"/>
      </w:pPr>
      <w:r>
        <w:rPr>
          <w:rFonts w:ascii="DM Sans" w:cs="DM Sans" w:eastAsia="DM Sans" w:hAnsi="DM Sans"/>
          <w:color w:val="14213D"/>
          <w:sz w:val="22"/>
          <w:szCs w:val="22"/>
        </w:rPr>
        <w:t xml:space="preserve">Elective-deel 2 werkt de andere twee scenario's uit deel 21 uit: wide-column (Cassandra) voor schrijfschaal, en graaf (Neo4j) voor relatieanalyse — inclusief de relatiequery die deel 21 paragraaf 13 als voorbeeld noemde ("welke deelnemers delen een werkgever binnen twee schakels").</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2026-08-17T11:13:09.348Z</dcterms:created>
  <dcterms:modified xsi:type="dcterms:W3CDTF">2026-08-17T11:13:09.348Z</dcterms:modified>
</cp:coreProperties>
</file>

<file path=docProps/custom.xml><?xml version="1.0" encoding="utf-8"?>
<Properties xmlns="http://schemas.openxmlformats.org/officeDocument/2006/custom-properties" xmlns:vt="http://schemas.openxmlformats.org/officeDocument/2006/docPropsVTypes"/>
</file>