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Wide-column en graaf in de praktijk — Docentenhandleiding</w:t>
      </w:r>
    </w:p>
    <w:p>
      <w:pPr>
        <w:spacing w:after="800" w:before="200"/>
        <w:jc w:val="center"/>
      </w:pPr>
      <w:r>
        <w:rPr>
          <w:rFonts w:ascii="DM Sans" w:cs="DM Sans" w:eastAsia="DM Sans" w:hAnsi="DM Sans"/>
          <w:color w:val="55606F"/>
          <w:sz w:val="26"/>
          <w:szCs w:val="26"/>
        </w:rPr>
        <w:t xml:space="preserve">NoSQL-elective · Databasemanagement</w:t>
      </w:r>
    </w:p>
    <w:p>
      <w:r>
        <w:br w:type="page"/>
      </w:r>
    </w:p>
    <w:p>
      <w:pPr>
        <w:pStyle w:val="Heading1"/>
      </w:pPr>
      <w:r>
        <w:rPr>
          <w:rFonts w:ascii="DM Sans" w:cs="DM Sans" w:eastAsia="DM Sans" w:hAnsi="DM Sans"/>
          <w:color w:val="14213D"/>
          <w:sz w:val="22"/>
          <w:szCs w:val="22"/>
        </w:rPr>
        <w:t xml:space="preserve">NoSQL-elective, deel 2 — Docentenhandleiding</w:t>
      </w:r>
    </w:p>
    <w:p>
      <w:pPr>
        <w:spacing w:after="160"/>
      </w:pPr>
      <w:r>
        <w:rPr>
          <w:rFonts w:ascii="DM Sans" w:cs="DM Sans" w:eastAsia="DM Sans" w:hAnsi="DM Sans"/>
          <w:b/>
          <w:bCs/>
          <w:color w:val="14213D"/>
          <w:sz w:val="22"/>
          <w:szCs w:val="22"/>
        </w:rPr>
        <w:t xml:space="preserve">Cursus Databasemanagement — Elective, niveau 2</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Doel van dit dagdeel</w:t>
      </w:r>
    </w:p>
    <w:p>
      <w:pPr>
        <w:spacing w:after="160"/>
      </w:pPr>
      <w:r>
        <w:rPr>
          <w:rFonts w:ascii="DM Sans" w:cs="DM Sans" w:eastAsia="DM Sans" w:hAnsi="DM Sans"/>
          <w:color w:val="14213D"/>
          <w:sz w:val="22"/>
          <w:szCs w:val="22"/>
        </w:rPr>
        <w:t xml:space="preserve">Dit dagdeel sluit de NoSQL-elective af door de laatste twee scenario's uit deel 21 (wide-column, graaf) tastbaar te maken, en door de hele elective terug te brengen naar de grondvraag: is een gespecialiseerd systeem hier verdedigbaar, of is het enthousiasme. De hoofdopdracht (EL2.4) test expliciet of deelnemers na vier systemen nog steeds "eerst PostgreSQL" als reflex hebben, in plaats van elk nieuw probleem als aanleiding voor een nieuw systeem te zien.</w:t>
      </w:r>
    </w:p>
    <w:p>
      <w:pPr>
        <w:pStyle w:val="Heading2"/>
      </w:pPr>
      <w:r>
        <w:rPr>
          <w:rFonts w:ascii="DM Sans" w:cs="DM Sans" w:eastAsia="DM Sans" w:hAnsi="DM Sans"/>
          <w:color w:val="14213D"/>
          <w:sz w:val="22"/>
          <w:szCs w:val="22"/>
        </w:rPr>
        <w:t xml:space="preserve">Voorbereiding</w:t>
      </w:r>
    </w:p>
    <w:p>
      <w:pPr>
        <w:pStyle w:val="ListParagraph"/>
        <w:numPr>
          <w:ilvl w:val="0"/>
          <w:numId w:val="2"/>
        </w:numPr>
      </w:pPr>
      <w:r>
        <w:rPr>
          <w:rFonts w:ascii="DM Sans" w:cs="DM Sans" w:eastAsia="DM Sans" w:hAnsi="DM Sans"/>
          <w:color w:val="14213D"/>
          <w:sz w:val="22"/>
          <w:szCs w:val="22"/>
        </w:rPr>
        <w:t xml:space="preserve">Ververs elective-deel 1 (Redis, MongoDB) — dit dagdeel bouwt voort op dezelfde grondhouding.</w:t>
      </w:r>
    </w:p>
    <w:p>
      <w:pPr>
        <w:pStyle w:val="ListParagraph"/>
        <w:numPr>
          <w:ilvl w:val="0"/>
          <w:numId w:val="2"/>
        </w:numPr>
      </w:pPr>
      <w:r>
        <w:rPr>
          <w:rFonts w:ascii="DM Sans" w:cs="DM Sans" w:eastAsia="DM Sans" w:hAnsi="DM Sans"/>
          <w:color w:val="14213D"/>
          <w:sz w:val="22"/>
          <w:szCs w:val="22"/>
        </w:rPr>
        <w:t xml:space="preserve">Ververs deel 4 en deel 8 (recursieve CTE's) — de Cypher-vergelijking in paragraaf 6 veronderstelt dat deelnemers die kennen.</w:t>
      </w:r>
    </w:p>
    <w:p>
      <w:pPr>
        <w:pStyle w:val="ListParagraph"/>
        <w:numPr>
          <w:ilvl w:val="0"/>
          <w:numId w:val="2"/>
        </w:numPr>
      </w:pPr>
      <w:r>
        <w:rPr>
          <w:rFonts w:ascii="DM Sans" w:cs="DM Sans" w:eastAsia="DM Sans" w:hAnsi="DM Sans"/>
          <w:color w:val="14213D"/>
          <w:sz w:val="22"/>
          <w:szCs w:val="22"/>
        </w:rPr>
        <w:t xml:space="preserve">Zoals bij deel 1: geen eigen Cassandra/Neo4j-installatie nodig, dit blijft ontwerp- en leesgericht.</w:t>
      </w:r>
    </w:p>
    <w:p>
      <w:pPr>
        <w:pStyle w:val="Heading2"/>
      </w:pPr>
      <w:r>
        <w:rPr>
          <w:rFonts w:ascii="DM Sans" w:cs="DM Sans" w:eastAsia="DM Sans" w:hAnsi="DM Sans"/>
          <w:color w:val="14213D"/>
          <w:sz w:val="22"/>
          <w:szCs w:val="22"/>
        </w:rPr>
        <w:t xml:space="preserve">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0:00–0:10</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Terugblik elective-deel 1 en de twee resterende scenario's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0:10–0:35</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Cassandra: partition/clustering key, de denk-omkering (paragraaf 3)</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0:35–0:55</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Praktijk: logtabel-ontwerp (paragraaf 4) + opdracht EL2.1</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0:55–1:20</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Neo4j: model en Cypher (paragraaf 5-6)</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1:20–1:35</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Opdracht EL2.2</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1:35–1:50</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Grenzen (paragraaf 7) + opdracht EL2.3</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1:50–2:15</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Opdracht EL2.4 (hoofdopdracht) + bespreking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2:15–2:20</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Terugblik op de hele elective, afsluiting</w:t>
            </w:r>
          </w:p>
        </w:tc>
      </w:tr>
    </w:tbl>
    <w:p>
      <w:pPr>
        <w:spacing w:after="160"/>
      </w:pPr>
    </w:p>
    <w:p>
      <w:pPr>
        <w:pStyle w:val="Heading2"/>
      </w:pPr>
      <w:r>
        <w:rPr>
          <w:rFonts w:ascii="DM Sans" w:cs="DM Sans" w:eastAsia="DM Sans" w:hAnsi="DM Sans"/>
          <w:color w:val="14213D"/>
          <w:sz w:val="22"/>
          <w:szCs w:val="22"/>
        </w:rPr>
        <w:t xml:space="preserve">Didactische aanwijzingen per onderdeel</w:t>
      </w:r>
    </w:p>
    <w:p>
      <w:pPr>
        <w:spacing w:after="160"/>
      </w:pPr>
      <w:r>
        <w:rPr>
          <w:rFonts w:ascii="DM Sans" w:cs="DM Sans" w:eastAsia="DM Sans" w:hAnsi="DM Sans"/>
          <w:b/>
          <w:bCs/>
          <w:color w:val="14213D"/>
          <w:sz w:val="22"/>
          <w:szCs w:val="22"/>
        </w:rPr>
        <w:t xml:space="preserve">Cassandra (0:10–0:35).</w:t>
      </w:r>
      <w:r>
        <w:rPr>
          <w:rFonts w:ascii="DM Sans" w:cs="DM Sans" w:eastAsia="DM Sans" w:hAnsi="DM Sans"/>
          <w:color w:val="14213D"/>
          <w:sz w:val="22"/>
          <w:szCs w:val="22"/>
        </w:rPr>
        <w:t xml:space="preserve"> De "denk-omkering" is het lastigste punt van dit dagdeel voor deelnemers die net tien tot twintig delen relationeel ontwerpen achter de rug hebben. Besteed hier bewust tijd aan — laat merken dat het geen betere of slechtere manier van ontwerpen is, maar een andere, passend bij een ander doel (schrijfschaal in plaats van flexibiliteit van query's).</w:t>
      </w:r>
    </w:p>
    <w:p>
      <w:pPr>
        <w:spacing w:after="160"/>
      </w:pPr>
      <w:r>
        <w:rPr>
          <w:rFonts w:ascii="DM Sans" w:cs="DM Sans" w:eastAsia="DM Sans" w:hAnsi="DM Sans"/>
          <w:b/>
          <w:bCs/>
          <w:color w:val="14213D"/>
          <w:sz w:val="22"/>
          <w:szCs w:val="22"/>
        </w:rPr>
        <w:t xml:space="preserve">Opdracht EL2.1.</w:t>
      </w:r>
      <w:r>
        <w:rPr>
          <w:rFonts w:ascii="DM Sans" w:cs="DM Sans" w:eastAsia="DM Sans" w:hAnsi="DM Sans"/>
          <w:color w:val="14213D"/>
          <w:sz w:val="22"/>
          <w:szCs w:val="22"/>
        </w:rPr>
        <w:t xml:space="preserve"> Verwacht dat sommige deelnemers proberen één tabel te laten voldoen aan beide vragen. Laat ze zelf tegen de partition-key-beperking aanlopen voordat je het antwoord voordoet — dat beklijft beter dan het uitleggen.</w:t>
      </w:r>
    </w:p>
    <w:p>
      <w:pPr>
        <w:spacing w:after="160"/>
      </w:pPr>
      <w:r>
        <w:rPr>
          <w:rFonts w:ascii="DM Sans" w:cs="DM Sans" w:eastAsia="DM Sans" w:hAnsi="DM Sans"/>
          <w:b/>
          <w:bCs/>
          <w:color w:val="14213D"/>
          <w:sz w:val="22"/>
          <w:szCs w:val="22"/>
        </w:rPr>
        <w:t xml:space="preserve">Neo4j en Cypher (0:55–1:20).</w:t>
      </w:r>
      <w:r>
        <w:rPr>
          <w:rFonts w:ascii="DM Sans" w:cs="DM Sans" w:eastAsia="DM Sans" w:hAnsi="DM Sans"/>
          <w:color w:val="14213D"/>
          <w:sz w:val="22"/>
          <w:szCs w:val="22"/>
        </w:rPr>
        <w:t xml:space="preserve"> De vergelijking met de recursieve CTE is de kern. Als tijd het toelaat, laat een deelnemer de CTE-vorm uit deel 8 er even bij pakken en naast de Cypher-vorm leggen — het visuele contrast (expliciete recursie versus een padpatroon in de MATCH-clausule) is overtuigender dan de uitleg alleen.</w:t>
      </w:r>
    </w:p>
    <w:p>
      <w:pPr>
        <w:spacing w:after="160"/>
      </w:pPr>
      <w:r>
        <w:rPr>
          <w:rFonts w:ascii="DM Sans" w:cs="DM Sans" w:eastAsia="DM Sans" w:hAnsi="DM Sans"/>
          <w:b/>
          <w:bCs/>
          <w:color w:val="14213D"/>
          <w:sz w:val="22"/>
          <w:szCs w:val="22"/>
        </w:rPr>
        <w:t xml:space="preserve">Opdracht EL2.4 (hoofdopdracht, 1:50–2:15).</w:t>
      </w:r>
      <w:r>
        <w:rPr>
          <w:rFonts w:ascii="DM Sans" w:cs="DM Sans" w:eastAsia="DM Sans" w:hAnsi="DM Sans"/>
          <w:color w:val="14213D"/>
          <w:sz w:val="22"/>
          <w:szCs w:val="22"/>
        </w:rPr>
        <w:t xml:space="preserve"> Dit is de opdracht die toetst of de hele elective is beklijfd. Een deelnemer die hier "Cassandra" of "Neo4j" antwoordt zonder aansluiting bij het toegangspatroon, heeft de grondvraag uit deel 21 nog niet volledig geïnternaliseerd — gebruik de bespreking om dat expliciet terug te koppelen, niet alleen het juiste antwoord (materialized view) te geven.</w:t>
      </w:r>
    </w:p>
    <w:p>
      <w:pPr>
        <w:pStyle w:val="Heading2"/>
      </w:pPr>
      <w:r>
        <w:rPr>
          <w:rFonts w:ascii="DM Sans" w:cs="DM Sans" w:eastAsia="DM Sans" w:hAnsi="DM Sans"/>
          <w:color w:val="14213D"/>
          <w:sz w:val="22"/>
          <w:szCs w:val="22"/>
        </w:rPr>
        <w:t xml:space="preserve">Veelgestelde vragen</w:t>
      </w:r>
    </w:p>
    <w:p>
      <w:pPr>
        <w:spacing w:after="160"/>
      </w:pPr>
      <w:r>
        <w:rPr>
          <w:rFonts w:ascii="DM Sans" w:cs="DM Sans" w:eastAsia="DM Sans" w:hAnsi="DM Sans"/>
          <w:b/>
          <w:bCs/>
          <w:color w:val="14213D"/>
          <w:sz w:val="22"/>
          <w:szCs w:val="22"/>
        </w:rPr>
        <w:t xml:space="preserve">"Moeten we Cassandra en Neo4j ook kunnen installeren?"</w:t>
      </w:r>
    </w:p>
    <w:p>
      <w:pPr>
        <w:spacing w:after="160"/>
      </w:pPr>
      <w:r>
        <w:rPr>
          <w:rFonts w:ascii="DM Sans" w:cs="DM Sans" w:eastAsia="DM Sans" w:hAnsi="DM Sans"/>
          <w:color w:val="14213D"/>
          <w:sz w:val="22"/>
          <w:szCs w:val="22"/>
        </w:rPr>
        <w:t xml:space="preserve">Nee, zelfde uitgangspunt als deel 1 — deze elective is ontwerp- en leesgericht, geen aparte certificeringslijn.</w:t>
      </w:r>
    </w:p>
    <w:p>
      <w:pPr>
        <w:spacing w:after="160"/>
      </w:pPr>
      <w:r>
        <w:rPr>
          <w:rFonts w:ascii="DM Sans" w:cs="DM Sans" w:eastAsia="DM Sans" w:hAnsi="DM Sans"/>
          <w:b/>
          <w:bCs/>
          <w:color w:val="14213D"/>
          <w:sz w:val="22"/>
          <w:szCs w:val="22"/>
        </w:rPr>
        <w:t xml:space="preserve">"Is dit examenstof voor de EDB-certificering?"</w:t>
      </w:r>
    </w:p>
    <w:p>
      <w:pPr>
        <w:spacing w:after="160"/>
      </w:pPr>
      <w:r>
        <w:rPr>
          <w:rFonts w:ascii="DM Sans" w:cs="DM Sans" w:eastAsia="DM Sans" w:hAnsi="DM Sans"/>
          <w:color w:val="14213D"/>
          <w:sz w:val="22"/>
          <w:szCs w:val="22"/>
        </w:rPr>
        <w:t xml:space="preserve">Nee. De EDB-certificeringslijn (deel 21, paragraaf 15) gaat uitsluitend over PostgreSQL. Deze elective is bedoeld om een breder beeld te geven van waar PostgreSQL in het bredere datastore-landschap staat, niet om extra examenstof te leveren.</w:t>
      </w:r>
    </w:p>
    <w:p>
      <w:pPr>
        <w:spacing w:after="160"/>
      </w:pPr>
      <w:r>
        <w:rPr>
          <w:rFonts w:ascii="DM Sans" w:cs="DM Sans" w:eastAsia="DM Sans" w:hAnsi="DM Sans"/>
          <w:b/>
          <w:bCs/>
          <w:color w:val="14213D"/>
          <w:sz w:val="22"/>
          <w:szCs w:val="22"/>
        </w:rPr>
        <w:t xml:space="preserve">"Waarom geen Elasticsearch-dagdeel?"</w:t>
      </w:r>
    </w:p>
    <w:p>
      <w:pPr>
        <w:spacing w:after="160"/>
      </w:pPr>
      <w:r>
        <w:rPr>
          <w:rFonts w:ascii="DM Sans" w:cs="DM Sans" w:eastAsia="DM Sans" w:hAnsi="DM Sans"/>
          <w:color w:val="14213D"/>
          <w:sz w:val="22"/>
          <w:szCs w:val="22"/>
        </w:rPr>
        <w:t xml:space="preserve">Bewuste scope-keuze bij het opzetten van deze elective: kort, twee delen, met de nadruk op de vier scenario's die het meest concreet uit te werken waren binnen die omvang. Elasticsearch blijft bij de conceptuele behandeling in deel 21.</w:t>
      </w:r>
    </w:p>
    <w:p>
      <w:pPr>
        <w:pStyle w:val="Heading2"/>
      </w:pPr>
      <w:r>
        <w:rPr>
          <w:rFonts w:ascii="DM Sans" w:cs="DM Sans" w:eastAsia="DM Sans" w:hAnsi="DM Sans"/>
          <w:color w:val="14213D"/>
          <w:sz w:val="22"/>
          <w:szCs w:val="22"/>
        </w:rPr>
        <w:t xml:space="preserve">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Weegt mee als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EL2.1–EL2.3</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Correcte toepassing van partition-key-logica resp. Cypher-lezen resp. grenzen herkennen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EL2.4</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Herkenning van het toegangspatroon, een oplossing binnen bestaande PostgreSQL-technieken, en een expliciete reflectie op de "nieuw probleem, nieuw systeem"-valkuil</w:t>
            </w:r>
          </w:p>
        </w:tc>
      </w:tr>
    </w:tbl>
    <w:p>
      <w:pPr>
        <w:spacing w:after="160"/>
      </w:pPr>
    </w:p>
    <w:p>
      <w:pPr>
        <w:pStyle w:val="Heading2"/>
      </w:pPr>
      <w:r>
        <w:rPr>
          <w:rFonts w:ascii="DM Sans" w:cs="DM Sans" w:eastAsia="DM Sans" w:hAnsi="DM Sans"/>
          <w:color w:val="14213D"/>
          <w:sz w:val="22"/>
          <w:szCs w:val="22"/>
        </w:rPr>
        <w:t xml:space="preserve">Aansluiting op volgend deel</w:t>
      </w:r>
    </w:p>
    <w:p>
      <w:pPr>
        <w:spacing w:after="160"/>
      </w:pPr>
      <w:r>
        <w:rPr>
          <w:rFonts w:ascii="DM Sans" w:cs="DM Sans" w:eastAsia="DM Sans" w:hAnsi="DM Sans"/>
          <w:color w:val="14213D"/>
          <w:sz w:val="22"/>
          <w:szCs w:val="22"/>
        </w:rPr>
        <w:t xml:space="preserve">De hoofdcursus vervolgt met deel 22 (zero-downtime migraties en de niveau-2-capstone). Deze elective staat volledig buiten die nummering; er is geen inhoudelijke afhankelijkheid naar deel 22, maar de discipline die deze twee delen aanleren — eerst het bestaande systeem onderzoeken, dan pas een nieuw gereedschap overwegen — keert in niveau 3 terug bij de architectuurkeuzes rond sharding (Citus) en federatie.</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2026-08-17T11:13:09.486Z</dcterms:created>
  <dcterms:modified xsi:type="dcterms:W3CDTF">2026-08-17T11:13:09.486Z</dcterms:modified>
</cp:coreProperties>
</file>

<file path=docProps/custom.xml><?xml version="1.0" encoding="utf-8"?>
<Properties xmlns="http://schemas.openxmlformats.org/officeDocument/2006/custom-properties" xmlns:vt="http://schemas.openxmlformats.org/officeDocument/2006/docPropsVTypes"/>
</file>