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Toolbijlage B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Klikpaden: pgAdmin en psql</w:t>
      </w:r>
    </w:p>
    <w:p>
      <w:r>
        <w:br w:type="page"/>
      </w:r>
    </w:p>
    <w:p>
      <w:pPr>
        <w:pStyle w:val="Heading1"/>
      </w:pPr>
      <w:r>
        <w:t xml:space="preserve">Inhoudsopgave</w:t>
      </w:r>
    </w:p>
    <w:sdt>
      <w:sdtPr>
        <w:alias w:val="Inhoudsopgav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Toolbijlage B — Klikpaden: pgAdmin en psql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Cursus Databasemanagement | Ductus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Versiegebonden bijlage — versie van augustus 2026, pgAdmin 4 (webversie en desktopversie)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Over deze bijlage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A beschrijft installatie en foutoplossing. Deze bijlage beschrijft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hoe je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twee tools uit de cursus daadwerkelijk bedient: pgAdmin (grafisch) en psql (command line). Klikpaden en menu-namen zijn het snelst verouderende deel van een cursus — vandaar dat ook dit in een aparte, periodiek te controleren bijlage staat en niet in de readers.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Docent: controleer deze bijlage vóór elke cursusronde.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Onderdelen die het snelst verouderen zijn gemarkeerd met ⚠.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Deze bijlage dekt kernhandelingen: verbinden, navigeren, queryen, en het lezen van een uitvoeringsplan. Ze dekt geen backup/restore-GUI, monitoring-dashboards of Citus-specifieke tooling — dat blijft bewust buiten scope.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pgAdmin — verbinden en navigeren (vanaf deel 2)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⚠ Menu-namen gecontroleerd op pgAdmin 4, versie van augustus 2026.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1.1 Een server registreren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Klik met de rechtermuisknop op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Servers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de linker object-browser.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Register → Server…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Tab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General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geef de verbinding een naam (bijvoorbeeld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Meridiaan lokaal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 — deze naam is alleen voor jou zichtbaar, niet de databasenaam.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Tab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Connection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host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localhost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poort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5432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(of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5433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bij de Docker-route uit Toolbijlage A), gebruikersnaam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postgres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wachtwoord instellen.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Save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Lukt de verbinding niet, doorloop dan eerst paragraaf 9 van Toolbijlage A — dezelfde foutmeldingen (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connection refused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password authentication failed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 gelden hier onder de motorkap.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1.2 De object-browser: de boomstructuur die overeenkomt met deel 2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boom links volgt precies de hiërarchie uit deel 2, paragraaf 3: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Server → Databases → (een database) → Schemas → (een schema) → Tables / Views / Functions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Voor de casus: klap uit tot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Meridiaan lokaal → Databases → meridiaan → Schemas → meridiaan → Tables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 Daar staat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deelnemer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mutatie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en de rest van de casustabellen.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Veelgemaakte verwarring: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 schema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public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staat er ook, standaard leeg voor deze cursus. Studenten die per ongeluk in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public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werken in plaats van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meridiaan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zien hun tabellen niet — controleer bij vragen altijd eerst welk schema is uitgeklapt.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1.3 Een tabel inspecteren zonder SQL te schrijven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Rechtermuisknop op een tabel →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Properties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toont kolommen, constraints, indexen en triggers in tabbladen — handig bij deel 5 (datamodellering) en deel 6 (constraints) om een ontwerp te controleren zonder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\d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te hoeven onthouden.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Rechtermuisknop op een tabel →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View/Edit Data → All Rows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opent een spreadsheet-achtige weergave, met een limiet op het aantal rijen (instelbaar in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Preferences → Query Tool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). Handig voor een snelle blik, niet voor de opdrachten zelf — die vragen om SQL.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pgAdmin — de Query Tool (vanaf deel 3)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2.1 Openen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Rechtermuisknop op de database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meridiaan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→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Query Tool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. Let op: opent de Query Tool via een tabel, dan staat het schema van die tabel al in het zoekpad van de sessie — handig, maar verwarrend als je een andere tabel bedoelt.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2.2 Uitvoeren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F5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of het driehoekje: voer het hele script uit.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Selectie + F5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voer alleen de gemarkeerde tekst uit — de standaardmanier om één statement uit een langer werkboek-bestand te draaien.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F7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: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Explain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(leest het plan, voert niets uit — zie paragraaf 4).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2.3 Resultaten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Onderin verschijnt een resultatengrid met, in het tabblad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Messages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de statustekst inclusief rijenaantal en tijdsduur — het grafische equivalent van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\timing on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psql (paragraaf 6 van Toolbijlage A).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Waarschuwing bij transacties (relevant vanaf deel 7):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Query Tool opent standaard geen expliciete transactie per statement, maar houdt wél één sessie per tabblad vast. Twee tabbladen = twee sessies = precies het opzet dat deel 7 nodig heeft voor de anomalie-demonstraties. Eén tabblad met twee keer dezelfde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BEGIN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erin is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niet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hetzelfde als twee sessies — een veelgemaakte fout bij het naspelen van de voorbeelden uit deel 7.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psql — kernhandelingen (vanaf deel 2)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Onderstaande meta-commando's zijn examenstof voor de EDB-certificeringslijn (zie Toolbijlage A, paragraaf 8) en worden door de hele cursus verondersteld bekend te zijn.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Commando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 het doet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Eerst nodig in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Alle databases op de server tonen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\c &lt;database&gt;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Overschakelen naar een andere database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\dn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Schema's in de huidige database tonen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2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\dt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Tabellen in het zoekpad tonen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\d &lt;tabel&gt;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Kolommen, constraints en indexen van één tabel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5, 6, 8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\di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Indexen tonen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8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\timing on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Uitvoeringstijd bij elk resultaat tonen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3 (zie Toolbijlage A §6)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\x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Uitgebreide weergave (één kolom per regel) — onmisbaar bij brede resultaten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3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Laatste query openen in de standaardeditor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4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\copy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Data in-/uitvoeren via een lokaal bestand (client-side, i.t.t. </w:t>
            </w:r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COPY</w:t>
            </w:r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 6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Mono" w:cs="DM Mono" w:eastAsia="DM Mono" w:hAnsi="DM Mono"/>
                <w:color w:val="14213D"/>
                <w:sz w:val="22"/>
                <w:szCs w:val="22"/>
              </w:rPr>
              <w:t xml:space="preserve">\q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psql afsluiten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`\x` versus een brede terminal: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vanaf deel 4 (joins met veel kolommen) wordt een resultaat al snel onleesbaar in de standaardweergave.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\x auto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schakelt automatisch naar de uitgebreide weergave zodra een rij niet op één regel past — de meest praktische instelling voor de rest van de cursus.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Het uitvoeringsplan lezen: pgAdmin's grafische Explain (deel 13)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13 behandelt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EXPLAIN ANALYZE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als platte tekst — dat blijft de examenvorm en de vorm die op een server zonder GUI werkt. pgAdmin biedt daarnaast een grafische weergave die hetzelfde plan als boomdiagram toont.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Query Tool → typ de query (zonder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EXPLAIN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ervoor) → klik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Explain Analyze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(het icoon met het uitroepteken, of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F7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met de instelling "Analyze" aangevinkt in de knop ernaast).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Het tabblad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Explain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toont een boom: elke node is een stap uit het plan, de dikte van de verbindingslijn tussen nodes geeft (bij de "Analyze"-variant) het aantal daadwerkelijk verwerkte rijen weer — dikkere lijn, meer rijen.</w:t>
      </w:r>
    </w:p>
    <w:p>
      <w:pPr>
        <w:pStyle w:val="ListParagraph"/>
        <w:numPr>
          <w:ilvl w:val="0"/>
          <w:numId w:val="4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Hover over een node voor de exacte cijfers (cost, actual time, rows, loops) — dezelfde vier vragen uit Figuur 13-1, nu per node aanklikbaar in plaats van uit platte tekst gelezen.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Gebruik dit als leeshulp, niet als vervanging.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cursus en het examen verwachten dat je een tekstueel plan kunt lezen zonder grafische ondersteuning — oefen daarom eerst met de platte vorm uit deel 13 en gebruik de grafische weergave om je eigen lezing te controleren, niet om de tekst over te slaan.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⚠ Nog te verifiëren per cursusronde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 docent controleert vóór elke ronde: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[ ] Menu-namen en icoon-posities in de actuele pgAdmin-versie (webversie wijzigt vaker dan de desktopversie)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[ ] Of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Explain Analyze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nog als apart icoon staat of is samengevoegd met </w:t>
      </w: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Explain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in een dropdown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[ ] Of de Query Tool-instelling voor automatisch-commit ongewijzigd staat (relevant voor deel 7 — zie paragraaf 2.3)</w:t>
      </w:r>
    </w:p>
    <w:p>
      <w:pPr>
        <w:pStyle w:val="ListParagraph"/>
        <w:numPr>
          <w:ilvl w:val="0"/>
          <w:numId w:val="3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[ ] Of </w:t>
      </w:r>
      <w:r>
        <w:rPr>
          <w:rFonts w:ascii="DM Mono" w:cs="DM Mono" w:eastAsia="DM Mono" w:hAnsi="DM Mono"/>
          <w:color w:val="14213D"/>
          <w:sz w:val="22"/>
          <w:szCs w:val="22"/>
        </w:rPr>
        <w:t xml:space="preserve">\x auto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nog de aanbevolen instelling is, of dat een nieuwere psql-versie iets beters biedt</w:t>
      </w:r>
    </w:p>
    <w:p>
      <w:pPr>
        <w:pBdr>
          <w:bottom w:val="single" w:color="DFDCD3" w:sz="6" w:space="4"/>
        </w:pBdr>
        <w:spacing w:after="120" w:before="120"/>
      </w:pP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Einde Toolbijlage B.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Requirements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2026-08-17T11:13:09.235Z</dcterms:created>
  <dcterms:modified xsi:type="dcterms:W3CDTF">2026-08-17T11:13:09.235Z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