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w:t>
      </w:r>
    </w:p>
    <w:p>
      <w:pPr>
        <w:spacing w:after="120"/>
      </w:pPr>
      <w:r>
        <w:rPr>
          <w:rFonts w:ascii="Cambria" w:cs="Cambria" w:eastAsia="Cambria" w:hAnsi="Cambria"/>
          <w:b/>
          <w:bCs/>
          <w:color w:val="0E1A1C"/>
          <w:sz w:val="56"/>
          <w:szCs w:val="56"/>
        </w:rPr>
        <w:t xml:space="preserve">Data als bedrijfsmiddel</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2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geprinte rolkaarten, reader en werkboek</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 gelezen, inclusief de casusbeschrijving in hoofdstuk 11.</w:t>
      </w:r>
    </w:p>
    <w:p>
      <w:pPr>
        <w:pStyle w:val="ListParagraph"/>
        <w:numPr>
          <w:ilvl w:val="0"/>
          <w:numId w:val="2"/>
        </w:numPr>
        <w:spacing w:after="70" w:line="280"/>
      </w:pPr>
      <w:r>
        <w:rPr>
          <w:rFonts w:ascii="Calibri" w:cs="Calibri" w:eastAsia="Calibri" w:hAnsi="Calibri"/>
          <w:color w:val="0E1A1C"/>
          <w:sz w:val="21"/>
          <w:szCs w:val="21"/>
        </w:rPr>
        <w:t xml:space="preserve">Opdracht 1 en 2 gemaakt. Vraag bij binnenkomst wie ze af heeft; met minder dan de helft laat je opdracht 1 in vijf minuten alsnog invullen — zonder die eigen rapportage werkt de rest van de ochtend minder goed.</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Vijf geprinte rolkaarten — owner, steward, custodian, producer, consumer — groot genoeg om op tafel te leggen.</w:t>
      </w:r>
    </w:p>
    <w:p>
      <w:pPr>
        <w:pStyle w:val="ListParagraph"/>
        <w:numPr>
          <w:ilvl w:val="0"/>
          <w:numId w:val="2"/>
        </w:numPr>
        <w:spacing w:after="70" w:line="280"/>
      </w:pPr>
      <w:r>
        <w:rPr>
          <w:rFonts w:ascii="Calibri" w:cs="Calibri" w:eastAsia="Calibri" w:hAnsi="Calibri"/>
          <w:color w:val="0E1A1C"/>
          <w:sz w:val="21"/>
          <w:szCs w:val="21"/>
        </w:rPr>
        <w:t xml:space="preserve">De vijf casuspunten los op papier, zodat je ze bij opdracht 5 fysiek kunt laten sorteren.</w:t>
      </w:r>
    </w:p>
    <w:p>
      <w:pPr>
        <w:pStyle w:val="ListParagraph"/>
        <w:numPr>
          <w:ilvl w:val="0"/>
          <w:numId w:val="2"/>
        </w:numPr>
        <w:spacing w:after="70" w:line="280"/>
      </w:pPr>
      <w:r>
        <w:rPr>
          <w:rFonts w:ascii="Calibri" w:cs="Calibri" w:eastAsia="Calibri" w:hAnsi="Calibri"/>
          <w:color w:val="0E1A1C"/>
          <w:sz w:val="21"/>
          <w:szCs w:val="21"/>
        </w:rPr>
        <w:t xml:space="preserve">Je eigen DMBOK2 zichtbaar op tafel; dat modelleert het gedrag dat je bij het examen verwacht.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het openingsdeel van het programma. Er is geen voorkennis. Deel 2 bouwt hierop voort met modelleren, deel 3 met de datastromen, deel 7 met governance en privacy. Voor het CDMP Fundamentals-examen levert dit deel de terminologie die door alle veertien kennisgebieden heen wordt getoetst — en het introduceert de casus Meridiaan die het hele programma meeloopt.</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van data naar besluit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drie deelnemers hun waardeketen uit opdracht 1 voorlezen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als bedrijfsmiddel, de vijf eigenschappen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Besteed de meeste tijd aan geschiktheid voor gebruik</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0:35–0:50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Rollen: bespreking opdracht 2</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 de rolkaarten op tafel en laat het incident naspelen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0:50–1:20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levensloop</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Grijp in zodra men bij "gebruiken" blijft hangen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korte pauze —</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1:20–1:45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vraag en kennisgebied</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twijfelgevallen staan; overlap is de les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1:45–1:55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disciplines: het overzicht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Kort houden, opdracht 5 doet het werk</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1:55–2:00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afmaken, opdracht 6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Je eigen waardeketen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concrete rapportage in plaats van een abstract voorbeeld.</w:t>
      </w:r>
    </w:p>
    <w:p>
      <w:pPr>
        <w:pStyle w:val="ListParagraph"/>
        <w:numPr>
          <w:ilvl w:val="0"/>
          <w:numId w:val="2"/>
        </w:numPr>
        <w:spacing w:after="70" w:line="280"/>
      </w:pPr>
      <w:r>
        <w:rPr>
          <w:rFonts w:ascii="Calibri" w:cs="Calibri" w:eastAsia="Calibri" w:hAnsi="Calibri"/>
          <w:color w:val="0E1A1C"/>
          <w:sz w:val="21"/>
          <w:szCs w:val="21"/>
        </w:rPr>
        <w:t xml:space="preserve">Een besluit dat werkelijk genomen wordt, met een naam of functie erbij.</w:t>
      </w:r>
    </w:p>
    <w:p>
      <w:pPr>
        <w:pStyle w:val="ListParagraph"/>
        <w:numPr>
          <w:ilvl w:val="0"/>
          <w:numId w:val="2"/>
        </w:numPr>
        <w:spacing w:after="70" w:line="280"/>
      </w:pPr>
      <w:r>
        <w:rPr>
          <w:rFonts w:ascii="Calibri" w:cs="Calibri" w:eastAsia="Calibri" w:hAnsi="Calibri"/>
          <w:color w:val="0E1A1C"/>
          <w:sz w:val="21"/>
          <w:szCs w:val="21"/>
        </w:rPr>
        <w:t xml:space="preserve">Het verliespunt onderbouwd in plaats van aangewezen.</w:t>
      </w:r>
    </w:p>
    <w:p>
      <w:pPr>
        <w:pStyle w:val="ListParagraph"/>
        <w:numPr>
          <w:ilvl w:val="0"/>
          <w:numId w:val="2"/>
        </w:numPr>
        <w:spacing w:after="70" w:line="280"/>
      </w:pPr>
      <w:r>
        <w:rPr>
          <w:rFonts w:ascii="Calibri" w:cs="Calibri" w:eastAsia="Calibri" w:hAnsi="Calibri"/>
          <w:color w:val="0E1A1C"/>
          <w:sz w:val="21"/>
          <w:szCs w:val="21"/>
        </w:rPr>
        <w:t xml:space="preserve">Erkenning dat het besluit soms niet bestaat — dat is een geldige en waardevolle uitkomst.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schakels informatie en kennis worden samengenomen. Vraag door naar het patroon.</w:t>
      </w:r>
    </w:p>
    <w:p>
      <w:pPr>
        <w:pStyle w:val="ListParagraph"/>
        <w:numPr>
          <w:ilvl w:val="0"/>
          <w:numId w:val="2"/>
        </w:numPr>
        <w:spacing w:after="70" w:line="280"/>
      </w:pPr>
      <w:r>
        <w:rPr>
          <w:rFonts w:ascii="Calibri" w:cs="Calibri" w:eastAsia="Calibri" w:hAnsi="Calibri"/>
          <w:color w:val="0E1A1C"/>
          <w:sz w:val="21"/>
          <w:szCs w:val="21"/>
        </w:rPr>
        <w:t xml:space="preserve">Het besluit wordt geformuleerd als "inzicht geven". Dat is geen besluit.</w:t>
      </w:r>
    </w:p>
    <w:p>
      <w:pPr>
        <w:pStyle w:val="ListParagraph"/>
        <w:numPr>
          <w:ilvl w:val="0"/>
          <w:numId w:val="2"/>
        </w:numPr>
        <w:spacing w:after="70" w:line="280"/>
      </w:pPr>
      <w:r>
        <w:rPr>
          <w:rFonts w:ascii="Calibri" w:cs="Calibri" w:eastAsia="Calibri" w:hAnsi="Calibri"/>
          <w:color w:val="0E1A1C"/>
          <w:sz w:val="21"/>
          <w:szCs w:val="21"/>
        </w:rPr>
        <w:t xml:space="preserve">Het verliespunt wordt bij de data gelegd terwijl het verhaal naar de definitie wijst.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neemt er daadwerkelijk een besluit op basis van jouw rapportage? En wat zou die persoon anders doen als hij hem niet had?</w:t>
            </w:r>
          </w:p>
        </w:tc>
      </w:tr>
    </w:tbl>
    <w:p>
      <w:pPr>
        <w:pStyle w:val="Heading2"/>
        <w:spacing w:after="140" w:before="340"/>
      </w:pPr>
      <w:r>
        <w:rPr>
          <w:rFonts w:ascii="Cambria" w:cs="Cambria" w:eastAsia="Cambria" w:hAnsi="Cambria"/>
          <w:b/>
          <w:bCs/>
          <w:color w:val="0E1A1C"/>
          <w:sz w:val="26"/>
          <w:szCs w:val="26"/>
        </w:rPr>
        <w:t xml:space="preserve">Opdracht 2 — Rollen bij Meridiaan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domeindirecteuren aangewezen als feitelijke owners, met de kanttekening dat het nergens is vastgelegd.</w:t>
      </w:r>
    </w:p>
    <w:p>
      <w:pPr>
        <w:pStyle w:val="ListParagraph"/>
        <w:numPr>
          <w:ilvl w:val="0"/>
          <w:numId w:val="2"/>
        </w:numPr>
        <w:spacing w:after="70" w:line="280"/>
      </w:pPr>
      <w:r>
        <w:rPr>
          <w:rFonts w:ascii="Calibri" w:cs="Calibri" w:eastAsia="Calibri" w:hAnsi="Calibri"/>
          <w:color w:val="0E1A1C"/>
          <w:sz w:val="21"/>
          <w:szCs w:val="21"/>
        </w:rPr>
        <w:t xml:space="preserve">Bij het e-mailincident: de klantcontactmedewerker als producer, IT als custodian, marketing als consumer.</w:t>
      </w:r>
    </w:p>
    <w:p>
      <w:pPr>
        <w:pStyle w:val="ListParagraph"/>
        <w:numPr>
          <w:ilvl w:val="0"/>
          <w:numId w:val="2"/>
        </w:numPr>
        <w:spacing w:after="70" w:line="280"/>
      </w:pPr>
      <w:r>
        <w:rPr>
          <w:rFonts w:ascii="Calibri" w:cs="Calibri" w:eastAsia="Calibri" w:hAnsi="Calibri"/>
          <w:color w:val="0E1A1C"/>
          <w:sz w:val="21"/>
          <w:szCs w:val="21"/>
        </w:rPr>
        <w:t xml:space="preserve">De ontbrekende rol is de owner — en het eerste gevolg is dat niemand de definitiediscussie mag beslechten.</w:t>
      </w:r>
    </w:p>
    <w:p>
      <w:pPr>
        <w:pStyle w:val="ListParagraph"/>
        <w:numPr>
          <w:ilvl w:val="0"/>
          <w:numId w:val="2"/>
        </w:numPr>
        <w:spacing w:after="70" w:line="280"/>
      </w:pPr>
      <w:r>
        <w:rPr>
          <w:rFonts w:ascii="Calibri" w:cs="Calibri" w:eastAsia="Calibri" w:hAnsi="Calibri"/>
          <w:color w:val="0E1A1C"/>
          <w:sz w:val="21"/>
          <w:szCs w:val="21"/>
        </w:rPr>
        <w:t xml:space="preserve">Erkenning dat de vier zelfbenoemde stewards geen mandaat hebben.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CDO als owner van alles aanwijzen. Vraag wat dat betekent als hij 0,6 fte heeft.</w:t>
      </w:r>
    </w:p>
    <w:p>
      <w:pPr>
        <w:pStyle w:val="ListParagraph"/>
        <w:numPr>
          <w:ilvl w:val="0"/>
          <w:numId w:val="2"/>
        </w:numPr>
        <w:spacing w:after="70" w:line="280"/>
      </w:pPr>
      <w:r>
        <w:rPr>
          <w:rFonts w:ascii="Calibri" w:cs="Calibri" w:eastAsia="Calibri" w:hAnsi="Calibri"/>
          <w:color w:val="0E1A1C"/>
          <w:sz w:val="21"/>
          <w:szCs w:val="21"/>
        </w:rPr>
        <w:t xml:space="preserve">IT verantwoordelijk maken voor de inhoud van het e-mailveld. Dit is de custodian-fout en hij komt bijna altijd langs.</w:t>
      </w:r>
    </w:p>
    <w:p>
      <w:pPr>
        <w:pStyle w:val="ListParagraph"/>
        <w:numPr>
          <w:ilvl w:val="0"/>
          <w:numId w:val="2"/>
        </w:numPr>
        <w:spacing w:after="70" w:line="280"/>
      </w:pPr>
      <w:r>
        <w:rPr>
          <w:rFonts w:ascii="Calibri" w:cs="Calibri" w:eastAsia="Calibri" w:hAnsi="Calibri"/>
          <w:color w:val="0E1A1C"/>
          <w:sz w:val="21"/>
          <w:szCs w:val="21"/>
        </w:rPr>
        <w:t xml:space="preserve">De producer vergeten. Die rol is onzichtbaar en juist daarom het interessantst.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bij Meridiaan mag "nee" zeggen tegen het verzoek van marketing om het deelnemersbestand te gebruiken?</w:t>
            </w:r>
          </w:p>
        </w:tc>
      </w:tr>
    </w:tbl>
    <w:p>
      <w:pPr>
        <w:pStyle w:val="Heading2"/>
        <w:spacing w:after="140" w:before="340"/>
      </w:pPr>
      <w:r>
        <w:rPr>
          <w:rFonts w:ascii="Cambria" w:cs="Cambria" w:eastAsia="Cambria" w:hAnsi="Cambria"/>
          <w:b/>
          <w:bCs/>
          <w:color w:val="0E1A1C"/>
          <w:sz w:val="26"/>
          <w:szCs w:val="26"/>
        </w:rPr>
        <w:t xml:space="preserve">Opdracht 3 — Levensloop van één gegeven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Bij "creëren" de ontbrekende validatie én het verplichte veld als oorzaak benoemd.</w:t>
      </w:r>
    </w:p>
    <w:p>
      <w:pPr>
        <w:pStyle w:val="ListParagraph"/>
        <w:numPr>
          <w:ilvl w:val="0"/>
          <w:numId w:val="2"/>
        </w:numPr>
        <w:spacing w:after="70" w:line="280"/>
      </w:pPr>
      <w:r>
        <w:rPr>
          <w:rFonts w:ascii="Calibri" w:cs="Calibri" w:eastAsia="Calibri" w:hAnsi="Calibri"/>
          <w:color w:val="0E1A1C"/>
          <w:sz w:val="21"/>
          <w:szCs w:val="21"/>
        </w:rPr>
        <w:t xml:space="preserve">Bij "opslaan" de vraag gesteld welk systeem de bron van waarheid is — legacy of platform.</w:t>
      </w:r>
    </w:p>
    <w:p>
      <w:pPr>
        <w:pStyle w:val="ListParagraph"/>
        <w:numPr>
          <w:ilvl w:val="0"/>
          <w:numId w:val="2"/>
        </w:numPr>
        <w:spacing w:after="70" w:line="280"/>
      </w:pPr>
      <w:r>
        <w:rPr>
          <w:rFonts w:ascii="Calibri" w:cs="Calibri" w:eastAsia="Calibri" w:hAnsi="Calibri"/>
          <w:color w:val="0E1A1C"/>
          <w:sz w:val="21"/>
          <w:szCs w:val="21"/>
        </w:rPr>
        <w:t xml:space="preserve">Bij "delen" de marketingcampagne herkend als het moment waarop het misgaat.</w:t>
      </w:r>
    </w:p>
    <w:p>
      <w:pPr>
        <w:pStyle w:val="ListParagraph"/>
        <w:numPr>
          <w:ilvl w:val="0"/>
          <w:numId w:val="2"/>
        </w:numPr>
        <w:spacing w:after="70" w:line="280"/>
      </w:pPr>
      <w:r>
        <w:rPr>
          <w:rFonts w:ascii="Calibri" w:cs="Calibri" w:eastAsia="Calibri" w:hAnsi="Calibri"/>
          <w:color w:val="0E1A1C"/>
          <w:sz w:val="21"/>
          <w:szCs w:val="21"/>
        </w:rPr>
        <w:t xml:space="preserve">Een bewaartermijn beredeneerd vanuit doel in plaats van vanuit gewoonte.</w:t>
      </w:r>
    </w:p>
    <w:p>
      <w:pPr>
        <w:pStyle w:val="ListParagraph"/>
        <w:numPr>
          <w:ilvl w:val="0"/>
          <w:numId w:val="2"/>
        </w:numPr>
        <w:spacing w:after="70" w:line="280"/>
      </w:pPr>
      <w:r>
        <w:rPr>
          <w:rFonts w:ascii="Calibri" w:cs="Calibri" w:eastAsia="Calibri" w:hAnsi="Calibri"/>
          <w:color w:val="0E1A1C"/>
          <w:sz w:val="21"/>
          <w:szCs w:val="21"/>
        </w:rPr>
        <w:t xml:space="preserve">Maatregelen die bij de bron ingrijpen: validatie, het veld niet verplicht maken, of terugkoppeling naar de invoerder.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maatregelen stroomafwaarts leggen — schoonmaken in het platform. Dat is dweilen.</w:t>
      </w:r>
    </w:p>
    <w:p>
      <w:pPr>
        <w:pStyle w:val="ListParagraph"/>
        <w:numPr>
          <w:ilvl w:val="0"/>
          <w:numId w:val="2"/>
        </w:numPr>
        <w:spacing w:after="70" w:line="280"/>
      </w:pPr>
      <w:r>
        <w:rPr>
          <w:rFonts w:ascii="Calibri" w:cs="Calibri" w:eastAsia="Calibri" w:hAnsi="Calibri"/>
          <w:color w:val="0E1A1C"/>
          <w:sz w:val="21"/>
          <w:szCs w:val="21"/>
        </w:rPr>
        <w:t xml:space="preserve">Archiveren en vernietigen overslaan. Vraag er expliciet naar.</w:t>
      </w:r>
    </w:p>
    <w:p>
      <w:pPr>
        <w:pStyle w:val="ListParagraph"/>
        <w:numPr>
          <w:ilvl w:val="0"/>
          <w:numId w:val="2"/>
        </w:numPr>
        <w:spacing w:after="70" w:line="280"/>
      </w:pPr>
      <w:r>
        <w:rPr>
          <w:rFonts w:ascii="Calibri" w:cs="Calibri" w:eastAsia="Calibri" w:hAnsi="Calibri"/>
          <w:color w:val="0E1A1C"/>
          <w:sz w:val="21"/>
          <w:szCs w:val="21"/>
        </w:rPr>
        <w:t xml:space="preserve">Het risico bij "gebruiken" beperken tot fouten; gebruik buiten de bedoelde context is hier het grotere risico.</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maatregel zorgt ervoor dat de medewerker die het adres invult, ooit hoort wat er met zijn invoer gebeurt?</w:t>
            </w:r>
          </w:p>
        </w:tc>
      </w:tr>
    </w:tbl>
    <w:p>
      <w:pPr>
        <w:pStyle w:val="Heading2"/>
        <w:spacing w:after="140" w:before="340"/>
      </w:pPr>
      <w:r>
        <w:rPr>
          <w:rFonts w:ascii="Cambria" w:cs="Cambria" w:eastAsia="Cambria" w:hAnsi="Cambria"/>
          <w:b/>
          <w:bCs/>
          <w:color w:val="0E1A1C"/>
          <w:sz w:val="26"/>
          <w:szCs w:val="26"/>
        </w:rPr>
        <w:t xml:space="preserve">Opdracht 4 — Vraag en kennisgebied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data security, met ethiek en governance als terechte nevenantwoorden. (b) metadata. (c) governance, met modeling als uitvoering. (d) reference &amp; master data. (e) governance en data security, in de praktijk via het bewaarbeleid. (f) data storage &amp; operations.</w:t>
      </w:r>
    </w:p>
    <w:p>
      <w:pPr>
        <w:pStyle w:val="ListParagraph"/>
        <w:numPr>
          <w:ilvl w:val="0"/>
          <w:numId w:val="2"/>
        </w:numPr>
        <w:spacing w:after="70" w:line="280"/>
      </w:pPr>
      <w:r>
        <w:rPr>
          <w:rFonts w:ascii="Calibri" w:cs="Calibri" w:eastAsia="Calibri" w:hAnsi="Calibri"/>
          <w:color w:val="0E1A1C"/>
          <w:sz w:val="21"/>
          <w:szCs w:val="21"/>
        </w:rPr>
        <w:t xml:space="preserve">Twijfelgevallen benoemd in plaats van weggepoetst.</w:t>
      </w:r>
    </w:p>
    <w:p>
      <w:pPr>
        <w:pStyle w:val="ListParagraph"/>
        <w:numPr>
          <w:ilvl w:val="0"/>
          <w:numId w:val="2"/>
        </w:numPr>
        <w:spacing w:after="70" w:line="280"/>
      </w:pPr>
      <w:r>
        <w:rPr>
          <w:rFonts w:ascii="Calibri" w:cs="Calibri" w:eastAsia="Calibri" w:hAnsi="Calibri"/>
          <w:color w:val="0E1A1C"/>
          <w:sz w:val="21"/>
          <w:szCs w:val="21"/>
        </w:rPr>
        <w:t xml:space="preserve">Eigen vragen die daadwerkelijk uit de praktijk komen en niet uit de reader.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bij data quality onderbrengen. Dat is de standaardreflex; vraag wie de vraag beantwoordt, niet waar hij door veroorzaakt is.</w:t>
      </w:r>
    </w:p>
    <w:p>
      <w:pPr>
        <w:pStyle w:val="ListParagraph"/>
        <w:numPr>
          <w:ilvl w:val="0"/>
          <w:numId w:val="2"/>
        </w:numPr>
        <w:spacing w:after="70" w:line="280"/>
      </w:pPr>
      <w:r>
        <w:rPr>
          <w:rFonts w:ascii="Calibri" w:cs="Calibri" w:eastAsia="Calibri" w:hAnsi="Calibri"/>
          <w:color w:val="0E1A1C"/>
          <w:sz w:val="21"/>
          <w:szCs w:val="21"/>
        </w:rPr>
        <w:t xml:space="preserve">Vraag (c) bij modeling leggen. Modelleren legt de definitie vast, maar besluiten wélke definitie geldt is governance.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Bij welke van deze vragen zou je in je eigen organisatie niet weten bij wie je moet aankloppen?</w:t>
            </w:r>
          </w:p>
        </w:tc>
      </w:tr>
    </w:tbl>
    <w:p>
      <w:pPr>
        <w:pStyle w:val="Heading2"/>
        <w:spacing w:after="140" w:before="340"/>
      </w:pPr>
      <w:r>
        <w:rPr>
          <w:rFonts w:ascii="Cambria" w:cs="Cambria" w:eastAsia="Cambria" w:hAnsi="Cambria"/>
          <w:b/>
          <w:bCs/>
          <w:color w:val="0E1A1C"/>
          <w:sz w:val="26"/>
          <w:szCs w:val="26"/>
        </w:rPr>
        <w:t xml:space="preserve">Opdracht 5 — Waar zit het probleem echt?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verschillende aantallen en de vier definities: governance eerst, datamanagement daarna.</w:t>
      </w:r>
    </w:p>
    <w:p>
      <w:pPr>
        <w:pStyle w:val="ListParagraph"/>
        <w:numPr>
          <w:ilvl w:val="0"/>
          <w:numId w:val="2"/>
        </w:numPr>
        <w:spacing w:after="70" w:line="280"/>
      </w:pPr>
      <w:r>
        <w:rPr>
          <w:rFonts w:ascii="Calibri" w:cs="Calibri" w:eastAsia="Calibri" w:hAnsi="Calibri"/>
          <w:color w:val="0E1A1C"/>
          <w:sz w:val="21"/>
          <w:szCs w:val="21"/>
        </w:rPr>
        <w:t xml:space="preserve">De begrippenlijst zonder eigenaar: governance, want het probleem is het ontbrekende eigenaarschap en niet de spreadsheet.</w:t>
      </w:r>
    </w:p>
    <w:p>
      <w:pPr>
        <w:pStyle w:val="ListParagraph"/>
        <w:numPr>
          <w:ilvl w:val="0"/>
          <w:numId w:val="2"/>
        </w:numPr>
        <w:spacing w:after="70" w:line="280"/>
      </w:pPr>
      <w:r>
        <w:rPr>
          <w:rFonts w:ascii="Calibri" w:cs="Calibri" w:eastAsia="Calibri" w:hAnsi="Calibri"/>
          <w:color w:val="0E1A1C"/>
          <w:sz w:val="21"/>
          <w:szCs w:val="21"/>
        </w:rPr>
        <w:t xml:space="preserve">Het e-mailveld: datamanagement, met een governancecomponent voor de norm.</w:t>
      </w:r>
    </w:p>
    <w:p>
      <w:pPr>
        <w:pStyle w:val="ListParagraph"/>
        <w:numPr>
          <w:ilvl w:val="0"/>
          <w:numId w:val="2"/>
        </w:numPr>
        <w:spacing w:after="70" w:line="280"/>
      </w:pPr>
      <w:r>
        <w:rPr>
          <w:rFonts w:ascii="Calibri" w:cs="Calibri" w:eastAsia="Calibri" w:hAnsi="Calibri"/>
          <w:color w:val="0E1A1C"/>
          <w:sz w:val="21"/>
          <w:szCs w:val="21"/>
        </w:rPr>
        <w:t xml:space="preserve">De marketingcampagne: governance en security, met de opmerking dat dit ook een AVG-vraag is.</w:t>
      </w:r>
    </w:p>
    <w:p>
      <w:pPr>
        <w:pStyle w:val="ListParagraph"/>
        <w:numPr>
          <w:ilvl w:val="0"/>
          <w:numId w:val="2"/>
        </w:numPr>
        <w:spacing w:after="70" w:line="280"/>
      </w:pPr>
      <w:r>
        <w:rPr>
          <w:rFonts w:ascii="Calibri" w:cs="Calibri" w:eastAsia="Calibri" w:hAnsi="Calibri"/>
          <w:color w:val="0E1A1C"/>
          <w:sz w:val="21"/>
          <w:szCs w:val="21"/>
        </w:rPr>
        <w:t xml:space="preserve">Volgorde die begint bij het beleggen van eigenaarschap, omdat al het andere daarop wacht.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als datamanagement bestempelen. Confronteer met de vraag wie er dan besluit.</w:t>
      </w:r>
    </w:p>
    <w:p>
      <w:pPr>
        <w:pStyle w:val="ListParagraph"/>
        <w:numPr>
          <w:ilvl w:val="0"/>
          <w:numId w:val="2"/>
        </w:numPr>
        <w:spacing w:after="70" w:line="280"/>
      </w:pPr>
      <w:r>
        <w:rPr>
          <w:rFonts w:ascii="Calibri" w:cs="Calibri" w:eastAsia="Calibri" w:hAnsi="Calibri"/>
          <w:color w:val="0E1A1C"/>
          <w:sz w:val="21"/>
          <w:szCs w:val="21"/>
        </w:rPr>
        <w:t xml:space="preserve">De campagne alleen als privacyvraag zien; er speelt ook een definitie- en toegangsvraag.</w:t>
      </w:r>
    </w:p>
    <w:p>
      <w:pPr>
        <w:pStyle w:val="ListParagraph"/>
        <w:numPr>
          <w:ilvl w:val="0"/>
          <w:numId w:val="2"/>
        </w:numPr>
        <w:spacing w:after="70" w:line="280"/>
      </w:pPr>
      <w:r>
        <w:rPr>
          <w:rFonts w:ascii="Calibri" w:cs="Calibri" w:eastAsia="Calibri" w:hAnsi="Calibri"/>
          <w:color w:val="0E1A1C"/>
          <w:sz w:val="21"/>
          <w:szCs w:val="21"/>
        </w:rPr>
        <w:t xml:space="preserve">Beginnen met de spreadsheet opschonen. Vraag wie de opgeschoonde versie vaststelt.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bij Meridiaan over een jaar als ze alleen de technische kant oplossen?</w:t>
            </w:r>
          </w:p>
        </w:tc>
      </w:tr>
    </w:tbl>
    <w:p>
      <w:pPr>
        <w:pStyle w:val="Heading2"/>
        <w:spacing w:after="140" w:before="340"/>
      </w:pPr>
      <w:r>
        <w:rPr>
          <w:rFonts w:ascii="Cambria" w:cs="Cambria" w:eastAsia="Cambria" w:hAnsi="Cambria"/>
          <w:b/>
          <w:bCs/>
          <w:color w:val="0E1A1C"/>
          <w:sz w:val="26"/>
          <w:szCs w:val="26"/>
        </w:rPr>
        <w:t xml:space="preserve">Opdracht 6 — Begrippen NL en 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Definities van één zin, in eigen woorden en niet overgeschreven.</w:t>
      </w:r>
    </w:p>
    <w:p>
      <w:pPr>
        <w:pStyle w:val="ListParagraph"/>
        <w:numPr>
          <w:ilvl w:val="0"/>
          <w:numId w:val="2"/>
        </w:numPr>
        <w:spacing w:after="70" w:line="280"/>
      </w:pPr>
      <w:r>
        <w:rPr>
          <w:rFonts w:ascii="Calibri" w:cs="Calibri" w:eastAsia="Calibri" w:hAnsi="Calibri"/>
          <w:color w:val="0E1A1C"/>
          <w:sz w:val="21"/>
          <w:szCs w:val="21"/>
        </w:rPr>
        <w:t xml:space="preserve">Eigen termen toegevoegd die in de eigen organisatie afwijkend gebruikt worden.</w:t>
      </w:r>
    </w:p>
    <w:p>
      <w:pPr>
        <w:pStyle w:val="ListParagraph"/>
        <w:numPr>
          <w:ilvl w:val="0"/>
          <w:numId w:val="2"/>
        </w:numPr>
        <w:spacing w:after="70" w:line="280"/>
      </w:pPr>
      <w:r>
        <w:rPr>
          <w:rFonts w:ascii="Calibri" w:cs="Calibri" w:eastAsia="Calibri" w:hAnsi="Calibri"/>
          <w:color w:val="0E1A1C"/>
          <w:sz w:val="21"/>
          <w:szCs w:val="21"/>
        </w:rPr>
        <w:t xml:space="preserve">Herkenning dat "gegeven" en "data" in de praktijk niet altijd hetzelfde dekken.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Definities overschrijven uit de reader. Laat opnieuw doen zonder erbij te kijken.</w:t>
      </w:r>
    </w:p>
    <w:p>
      <w:pPr>
        <w:pStyle w:val="ListParagraph"/>
        <w:numPr>
          <w:ilvl w:val="0"/>
          <w:numId w:val="2"/>
        </w:numPr>
        <w:spacing w:after="70" w:line="280"/>
      </w:pPr>
      <w:r>
        <w:rPr>
          <w:rFonts w:ascii="Calibri" w:cs="Calibri" w:eastAsia="Calibri" w:hAnsi="Calibri"/>
          <w:color w:val="0E1A1C"/>
          <w:sz w:val="21"/>
          <w:szCs w:val="21"/>
        </w:rPr>
        <w:t xml:space="preserve">Master en reference data door elkaar halen; dit is het meest voorkomende foutpaar.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term wordt in jouw organisatie anders gebruikt dan hier, en levert dat weleens verwarring op?</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afdeling wil weten waar een getal in een kwartaalrapportage vandaan komt. Welk kennisgebied beantwoordt die vraag primair?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Metadata</w:t>
      </w:r>
    </w:p>
    <w:p>
      <w:pPr>
        <w:spacing w:after="40" w:line="275"/>
        <w:ind w:left="420"/>
      </w:pPr>
      <w:r>
        <w:rPr>
          <w:rFonts w:ascii="Calibri" w:cs="Calibri" w:eastAsia="Calibri" w:hAnsi="Calibri"/>
          <w:color w:val="5F7375"/>
          <w:sz w:val="19"/>
          <w:szCs w:val="19"/>
        </w:rPr>
        <w:t xml:space="preserve">Herkomst, oftewel lineage, is metadata: data over data. Kwaliteit gaat over of het getal klopt, metadata over waar het vandaan komt.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onderscheidt master data van reference data?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Master data beschrijft kernobjecten zoals deelnemer en werkgever; reference data zijn codelijsten en classificaties.</w:t>
      </w:r>
    </w:p>
    <w:p>
      <w:pPr>
        <w:spacing w:after="40" w:line="275"/>
        <w:ind w:left="420"/>
      </w:pPr>
      <w:r>
        <w:rPr>
          <w:rFonts w:ascii="Calibri" w:cs="Calibri" w:eastAsia="Calibri" w:hAnsi="Calibri"/>
          <w:color w:val="5F7375"/>
          <w:sz w:val="19"/>
          <w:szCs w:val="19"/>
        </w:rPr>
        <w:t xml:space="preserve">Master data gaat over de kernobjecten waar de organisatie om draait. Reference data zijn de toegestane waarden waarmee die objecten worden geclassificeerd, zoals landcodes of soort dienstverband.</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Een deelnemersbestand is prima voor een nieuwsbrief maar onbruikbaar voor een toezichtsrapportage. Wat illustreert dit?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datakwaliteit geschiktheid voor gebruik is en dus per doel verschilt.</w:t>
      </w:r>
    </w:p>
    <w:p>
      <w:pPr>
        <w:spacing w:after="40" w:line="275"/>
        <w:ind w:left="420"/>
      </w:pPr>
      <w:r>
        <w:rPr>
          <w:rFonts w:ascii="Calibri" w:cs="Calibri" w:eastAsia="Calibri" w:hAnsi="Calibri"/>
          <w:color w:val="5F7375"/>
          <w:sz w:val="19"/>
          <w:szCs w:val="19"/>
        </w:rPr>
        <w:t xml:space="preserve">Kwaliteit is geen absolute eigenschap van een dataset maar een oordeel ten opzichte van een specifiek gebruik. Hetzelfde bestand kan tegelijk voldoende en onvoldoende zijn.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Wie is verantwoordelijk voor de back-up en de beschikbaarheid van een dataset?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De data custodian</w:t>
      </w:r>
    </w:p>
    <w:p>
      <w:pPr>
        <w:spacing w:after="40" w:line="275"/>
        <w:ind w:left="420"/>
      </w:pPr>
      <w:r>
        <w:rPr>
          <w:rFonts w:ascii="Calibri" w:cs="Calibri" w:eastAsia="Calibri" w:hAnsi="Calibri"/>
          <w:color w:val="5F7375"/>
          <w:sz w:val="19"/>
          <w:szCs w:val="19"/>
        </w:rPr>
        <w:t xml:space="preserve">De custodian is de technische bewaarder. Hij wordt regelmatig ten onrechte aangesproken op inhoudelijke kwaliteit; die verantwoordelijkheid ligt bij de owner.</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Een medewerker vult bij een onbekend e-mailadres altijd hetzelfde adres in omdat het veld verplicht is. Wat is de kern van het probleem?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kosten van de fout vallen ergens anders dan de oorzaak.</w:t>
      </w:r>
    </w:p>
    <w:p>
      <w:pPr>
        <w:spacing w:after="40" w:line="275"/>
        <w:ind w:left="420"/>
      </w:pPr>
      <w:r>
        <w:rPr>
          <w:rFonts w:ascii="Calibri" w:cs="Calibri" w:eastAsia="Calibri" w:hAnsi="Calibri"/>
          <w:color w:val="5F7375"/>
          <w:sz w:val="19"/>
          <w:szCs w:val="19"/>
        </w:rPr>
        <w:t xml:space="preserve">De producer merkt zelf niets van het gevolg en de consumer kan er niets aan doen. Dat patroon zit achter de meeste datakwaliteitsproblemen — en het is precies waarom governance bestaat.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Welke twee fasen van de datalevensloop worden in de praktijk het vaakst overgeslagen?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Archiveren en vernietigen</w:t>
      </w:r>
    </w:p>
    <w:p>
      <w:pPr>
        <w:spacing w:after="40" w:line="275"/>
        <w:ind w:left="420"/>
      </w:pPr>
      <w:r>
        <w:rPr>
          <w:rFonts w:ascii="Calibri" w:cs="Calibri" w:eastAsia="Calibri" w:hAnsi="Calibri"/>
          <w:color w:val="5F7375"/>
          <w:sz w:val="19"/>
          <w:szCs w:val="19"/>
        </w:rPr>
        <w:t xml:space="preserve">Bewaren zonder doel is onder de AVG niet toegestaan, en elke achtergebleven kopie vergroot de schade bij een incident. Hier valt bij sanering vaak de snelste winst te halen.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Waarom dwingt schaarste bij data niet vanzelf tot afstemming, zoals bij een vergaderzaal wel?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data niet opraakt door gebruik: meerdere partijen kunnen het tegelijk gebruiken.</w:t>
      </w:r>
    </w:p>
    <w:p>
      <w:pPr>
        <w:spacing w:after="40" w:line="275"/>
        <w:ind w:left="420"/>
      </w:pPr>
      <w:r>
        <w:rPr>
          <w:rFonts w:ascii="Calibri" w:cs="Calibri" w:eastAsia="Calibri" w:hAnsi="Calibri"/>
          <w:color w:val="5F7375"/>
          <w:sz w:val="19"/>
          <w:szCs w:val="19"/>
        </w:rPr>
        <w:t xml:space="preserve">Data is niet-rivaliserend. Er is geen natuurlijke botsing die mensen tot overleg dwingt, dus die afstemming moet expliciet worden georganiseerd.</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een system of record?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systeem dat is aangewezen als de gezaghebbende bron voor een gegeven.</w:t>
      </w:r>
    </w:p>
    <w:p>
      <w:pPr>
        <w:spacing w:after="40" w:line="275"/>
        <w:ind w:left="420"/>
      </w:pPr>
      <w:r>
        <w:rPr>
          <w:rFonts w:ascii="Calibri" w:cs="Calibri" w:eastAsia="Calibri" w:hAnsi="Calibri"/>
          <w:color w:val="5F7375"/>
          <w:sz w:val="19"/>
          <w:szCs w:val="19"/>
        </w:rPr>
        <w:t xml:space="preserve">Het gaat om een aanwijzing, niet om een historisch feit of om volume. Zonder die aanwijzing ontstaan concurrerende waarheden — precies wat er bij Meridiaan gebeurt.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Drie afdelingen rapporteren verschillende deelnemersaantallen. Waar ligt de oplossing primair?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In data governance: vaststellen wie de definitie bepaalt.</w:t>
      </w:r>
    </w:p>
    <w:p>
      <w:pPr>
        <w:spacing w:after="40" w:line="275"/>
        <w:ind w:left="420"/>
      </w:pPr>
      <w:r>
        <w:rPr>
          <w:rFonts w:ascii="Calibri" w:cs="Calibri" w:eastAsia="Calibri" w:hAnsi="Calibri"/>
          <w:color w:val="5F7375"/>
          <w:sz w:val="19"/>
          <w:szCs w:val="19"/>
        </w:rPr>
        <w:t xml:space="preserve">Schoonmaken helpt tijdelijk, maar zolang niemand mag beslissen welke definitie geldt, ontstaan de verschillen opnieuw. Eerst het besluitrecht, dan de techniek.</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een kritiek data-element?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beperkte set gegevens waarvan fouten materiële gevolgen hebben.</w:t>
      </w:r>
    </w:p>
    <w:p>
      <w:pPr>
        <w:spacing w:after="40" w:line="275"/>
        <w:ind w:left="420"/>
      </w:pPr>
      <w:r>
        <w:rPr>
          <w:rFonts w:ascii="Calibri" w:cs="Calibri" w:eastAsia="Calibri" w:hAnsi="Calibri"/>
          <w:color w:val="5F7375"/>
          <w:sz w:val="19"/>
          <w:szCs w:val="19"/>
        </w:rPr>
        <w:t xml:space="preserve">De waarde van het begrip zit in de beperking. Alles kritiek noemen betekent dat niets het is, en dat maakt prioritering onmogelijk.</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data werkelijk een bedrijfsmiddel, of is die vergelijking vooral retorisch nuttig?</w:t>
      </w:r>
    </w:p>
    <w:p>
      <w:pPr>
        <w:pStyle w:val="ListParagraph"/>
        <w:numPr>
          <w:ilvl w:val="0"/>
          <w:numId w:val="3"/>
        </w:numPr>
        <w:spacing w:after="70" w:line="280"/>
      </w:pPr>
      <w:r>
        <w:rPr>
          <w:rFonts w:ascii="Calibri" w:cs="Calibri" w:eastAsia="Calibri" w:hAnsi="Calibri"/>
          <w:color w:val="0E1A1C"/>
          <w:sz w:val="21"/>
          <w:szCs w:val="21"/>
        </w:rPr>
        <w:t xml:space="preserve">Kun je data waarderen op de balans? Wat zou er veranderen als dat kon — en willen we dat?</w:t>
      </w:r>
    </w:p>
    <w:p>
      <w:pPr>
        <w:pStyle w:val="ListParagraph"/>
        <w:numPr>
          <w:ilvl w:val="0"/>
          <w:numId w:val="3"/>
        </w:numPr>
        <w:spacing w:after="70" w:line="280"/>
      </w:pPr>
      <w:r>
        <w:rPr>
          <w:rFonts w:ascii="Calibri" w:cs="Calibri" w:eastAsia="Calibri" w:hAnsi="Calibri"/>
          <w:color w:val="0E1A1C"/>
          <w:sz w:val="21"/>
          <w:szCs w:val="21"/>
        </w:rPr>
        <w:t xml:space="preserve">Wie zou bij een pensioenuitvoerder eigenaar van deelnemersgegevens moeten zijn: de business, IT, of de deelnemer zelf?</w:t>
      </w:r>
    </w:p>
    <w:p>
      <w:pPr>
        <w:pStyle w:val="ListParagraph"/>
        <w:numPr>
          <w:ilvl w:val="0"/>
          <w:numId w:val="3"/>
        </w:numPr>
        <w:spacing w:after="70" w:line="280"/>
      </w:pPr>
      <w:r>
        <w:rPr>
          <w:rFonts w:ascii="Calibri" w:cs="Calibri" w:eastAsia="Calibri" w:hAnsi="Calibri"/>
          <w:color w:val="0E1A1C"/>
          <w:sz w:val="21"/>
          <w:szCs w:val="21"/>
        </w:rPr>
        <w:t xml:space="preserve">Als een gegeven nergens meer voor gebruikt wordt, waarom bewaren organisaties het dan toch?</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de kennisgebieden uit hoofdstuk 5 in het Engels opschrijven zonder de reader erbij.</w:t>
      </w:r>
    </w:p>
    <w:p>
      <w:pPr>
        <w:pStyle w:val="ListParagraph"/>
        <w:numPr>
          <w:ilvl w:val="0"/>
          <w:numId w:val="2"/>
        </w:numPr>
        <w:spacing w:after="70" w:line="280"/>
      </w:pPr>
      <w:r>
        <w:rPr>
          <w:rFonts w:ascii="Calibri" w:cs="Calibri" w:eastAsia="Calibri" w:hAnsi="Calibri"/>
          <w:color w:val="0E1A1C"/>
          <w:sz w:val="21"/>
          <w:szCs w:val="21"/>
        </w:rPr>
        <w:t xml:space="preserve">Vraag om bij opdracht 5 de tegenpositie te verdedigen: waarom zou een technische oplossing wél kunnen volstaan?</w:t>
      </w:r>
    </w:p>
    <w:p>
      <w:pPr>
        <w:pStyle w:val="ListParagraph"/>
        <w:numPr>
          <w:ilvl w:val="0"/>
          <w:numId w:val="2"/>
        </w:numPr>
        <w:spacing w:after="70" w:line="280"/>
      </w:pPr>
      <w:r>
        <w:rPr>
          <w:rFonts w:ascii="Calibri" w:cs="Calibri" w:eastAsia="Calibri" w:hAnsi="Calibri"/>
          <w:color w:val="0E1A1C"/>
          <w:sz w:val="21"/>
          <w:szCs w:val="21"/>
        </w:rPr>
        <w:t xml:space="preserve">Laat een zesde casuspunt bedenken dat de groep moet indelen.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drie fasen: creëren, gebruiken en delen.</w:t>
      </w:r>
    </w:p>
    <w:p>
      <w:pPr>
        <w:pStyle w:val="ListParagraph"/>
        <w:numPr>
          <w:ilvl w:val="0"/>
          <w:numId w:val="2"/>
        </w:numPr>
        <w:spacing w:after="70" w:line="280"/>
      </w:pPr>
      <w:r>
        <w:rPr>
          <w:rFonts w:ascii="Calibri" w:cs="Calibri" w:eastAsia="Calibri" w:hAnsi="Calibri"/>
          <w:color w:val="0E1A1C"/>
          <w:sz w:val="21"/>
          <w:szCs w:val="21"/>
        </w:rPr>
        <w:t xml:space="preserve">Geef bij opdracht 4 de eerste twee koppelingen voor als voorbeeld.</w:t>
      </w:r>
    </w:p>
    <w:p>
      <w:pPr>
        <w:pStyle w:val="ListParagraph"/>
        <w:numPr>
          <w:ilvl w:val="0"/>
          <w:numId w:val="2"/>
        </w:numPr>
        <w:spacing w:after="70" w:line="280"/>
      </w:pPr>
      <w:r>
        <w:rPr>
          <w:rFonts w:ascii="Calibri" w:cs="Calibri" w:eastAsia="Calibri" w:hAnsi="Calibri"/>
          <w:color w:val="0E1A1C"/>
          <w:sz w:val="21"/>
          <w:szCs w:val="21"/>
        </w:rPr>
        <w:t xml:space="preserve">Laat opdracht 5 in duo met een ervarener deelnemer maken en de uitkomst plenair presenteren.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het DMBOK echt zelf kopen?"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Het is tijdens het CDMP-examen het enige toegestane hulpmiddel en dit materiaal reproduceert het niet. Papier of digitaal, niet beide.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"Ik ben geen techneut — kan ik dit wel?"</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Niveau 1 vraagt geen programmeer- of databasekennis. Deel 2 en 3 leren lezen, niet bouwen.</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"Zijn de zelftoetsvragen echte examenvragen?"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ze zijn door Ductus opgesteld en trainen het vraagtype, niet de inhoud van het examen.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zoveel Engelse termen?"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examen is Engelstalig. Wie de begrippen alleen in het Nederlands kent, verliest punten op vragen die hij inhoudelijk beheerst.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 — Data als bedrijfsmiddel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als bedrijfsmiddel — Docentenhandleiding</dc:title>
  <dc:creator>Ductus B.V.</dc:creator>
  <dc:description>Cursusmateriaal datamanagement, data-analyse en data governance</dc:description>
  <cp:lastModifiedBy>Un-named</cp:lastModifiedBy>
  <cp:revision>1</cp:revision>
  <dcterms:created xsi:type="dcterms:W3CDTF">2026-08-05T10:35:00.506Z</dcterms:created>
  <dcterms:modified xsi:type="dcterms:W3CDTF">2026-08-05T10:35:00.507Z</dcterms:modified>
</cp:coreProperties>
</file>

<file path=docProps/custom.xml><?xml version="1.0" encoding="utf-8"?>
<Properties xmlns="http://schemas.openxmlformats.org/officeDocument/2006/custom-properties" xmlns:vt="http://schemas.openxmlformats.org/officeDocument/2006/docPropsVTypes"/>
</file>