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2</w:t>
      </w:r>
    </w:p>
    <w:p>
      <w:pPr>
        <w:spacing w:after="120"/>
      </w:pPr>
      <w:r>
        <w:rPr>
          <w:rFonts w:ascii="Cambria" w:cs="Cambria" w:eastAsia="Cambria" w:hAnsi="Cambria"/>
          <w:b/>
          <w:bCs/>
          <w:color w:val="0E1A1C"/>
          <w:sz w:val="56"/>
          <w:szCs w:val="56"/>
        </w:rPr>
        <w:t xml:space="preserve">Databasics en modelleren</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3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of flip-overvellen, geprint foutmodel voor opdracht 7</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 gelezen; deel 1 afgerond, inclusief de casus Meridiaan.</w:t>
      </w:r>
    </w:p>
    <w:p>
      <w:pPr>
        <w:pStyle w:val="ListParagraph"/>
        <w:numPr>
          <w:ilvl w:val="0"/>
          <w:numId w:val="2"/>
        </w:numPr>
        <w:spacing w:after="70" w:line="280"/>
      </w:pPr>
      <w:r>
        <w:rPr>
          <w:rFonts w:ascii="Calibri" w:cs="Calibri" w:eastAsia="Calibri" w:hAnsi="Calibri"/>
          <w:color w:val="0E1A1C"/>
          <w:sz w:val="21"/>
          <w:szCs w:val="21"/>
        </w:rPr>
        <w:t xml:space="preserve">Opdracht 1 en 2 gemaakt. Opdracht 2 is de opstap voor de hele ochtend — zonder die entiteitenlijst loopt opdracht 4 vast. Laat hem desnoods in tien minuten alsnog maken.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Flip-overvellen en potloden. Geen modelleertool: die verplaatst de aandacht naar notatie in plaats van naar betekenis.</w:t>
      </w:r>
    </w:p>
    <w:p>
      <w:pPr>
        <w:pStyle w:val="ListParagraph"/>
        <w:numPr>
          <w:ilvl w:val="0"/>
          <w:numId w:val="2"/>
        </w:numPr>
        <w:spacing w:after="70" w:line="280"/>
      </w:pPr>
      <w:r>
        <w:rPr>
          <w:rFonts w:ascii="Calibri" w:cs="Calibri" w:eastAsia="Calibri" w:hAnsi="Calibri"/>
          <w:color w:val="0E1A1C"/>
          <w:sz w:val="21"/>
          <w:szCs w:val="21"/>
        </w:rPr>
        <w:t xml:space="preserve">Het foutmodel voor opdracht 7 geprint, één per deelnemer. De zes fouten: entiteit die een rapport is, ontbrekende sleutel bij één entiteit, verplichte partnerrelatie, werkgeveradres bij Deelnemer, onopgeloste veel-op-veel, en het volledig ontbreken van definities.</w:t>
      </w:r>
    </w:p>
    <w:p>
      <w:pPr>
        <w:pStyle w:val="ListParagraph"/>
        <w:numPr>
          <w:ilvl w:val="0"/>
          <w:numId w:val="2"/>
        </w:numPr>
        <w:spacing w:after="70" w:line="280"/>
      </w:pPr>
      <w:r>
        <w:rPr>
          <w:rFonts w:ascii="Calibri" w:cs="Calibri" w:eastAsia="Calibri" w:hAnsi="Calibri"/>
          <w:color w:val="0E1A1C"/>
          <w:sz w:val="21"/>
          <w:szCs w:val="21"/>
        </w:rPr>
        <w:t xml:space="preserve">De platte tabel van opdracht 5 groot op het bord, zodat je de drie stappen plenair kunt afronden.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 leverde de taal, dit deel het bouwmateriaal. Deel 3 zet de modellen in beweging via datastromen. Deel 8 komt terug op data-architectuur als kennisgebied, en deel 12 verdiept modelleren richting het specialistexamen — met Data Vault, dimensioneel modelleren en historisatie. Voor het Fundamentals-examen is Data Modeling &amp; Design een van de zwaarst wegende gebieden.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een model is geen technisch document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met de vier definities uit deel 1, niet met notatie</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Bouwmateriaal en bespreking opdracht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het twijfelgeval "partner" uitvechten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0:35–1:05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sleutels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buitenlandscenario is de kern; stuur erop aan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1:05–1:40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relaties</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en vraag naar de betekenis van de koppelentiteit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1:40–2:25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normaliseren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Rond plenair af op het bord; iedereen moet 3NF zien landen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2:25–2:35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drie abstractieniveaus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Kort; opdracht 6 doet het werk</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2:35–2:55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CDM tekenen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Grijp in zodra er attributen op het vel verschijnen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2:55–3:00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Datasoorten inventariseren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Voorbeelden uit alle vier de domeinen, niet alleen uit Deelnemers.</w:t>
      </w:r>
    </w:p>
    <w:p>
      <w:pPr>
        <w:pStyle w:val="ListParagraph"/>
        <w:numPr>
          <w:ilvl w:val="0"/>
          <w:numId w:val="2"/>
        </w:numPr>
        <w:spacing w:after="70" w:line="280"/>
      </w:pPr>
      <w:r>
        <w:rPr>
          <w:rFonts w:ascii="Calibri" w:cs="Calibri" w:eastAsia="Calibri" w:hAnsi="Calibri"/>
          <w:color w:val="0E1A1C"/>
          <w:sz w:val="21"/>
          <w:szCs w:val="21"/>
        </w:rPr>
        <w:t xml:space="preserve">Telefoonnotities, correspondentie en gescande formulieren herkend als ongestructureerd.</w:t>
      </w:r>
    </w:p>
    <w:p>
      <w:pPr>
        <w:pStyle w:val="ListParagraph"/>
        <w:numPr>
          <w:ilvl w:val="0"/>
          <w:numId w:val="2"/>
        </w:numPr>
        <w:spacing w:after="70" w:line="280"/>
      </w:pPr>
      <w:r>
        <w:rPr>
          <w:rFonts w:ascii="Calibri" w:cs="Calibri" w:eastAsia="Calibri" w:hAnsi="Calibri"/>
          <w:color w:val="0E1A1C"/>
          <w:sz w:val="21"/>
          <w:szCs w:val="21"/>
        </w:rPr>
        <w:t xml:space="preserve">JSON van het portaal en logbestanden als semi-gestructureerd.</w:t>
      </w:r>
    </w:p>
    <w:p>
      <w:pPr>
        <w:pStyle w:val="ListParagraph"/>
        <w:numPr>
          <w:ilvl w:val="0"/>
          <w:numId w:val="2"/>
        </w:numPr>
        <w:spacing w:after="70" w:line="280"/>
      </w:pPr>
      <w:r>
        <w:rPr>
          <w:rFonts w:ascii="Calibri" w:cs="Calibri" w:eastAsia="Calibri" w:hAnsi="Calibri"/>
          <w:color w:val="0E1A1C"/>
          <w:sz w:val="21"/>
          <w:szCs w:val="21"/>
        </w:rPr>
        <w:t xml:space="preserve">Het inzicht dat juist het ongestructureerde deel buiten governance valt en de AVG-vraag daar strandt.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gestructureerd noemen omdat het "in een systeem staat". Vraag naar de gedeelde netwerkschijf.</w:t>
      </w:r>
    </w:p>
    <w:p>
      <w:pPr>
        <w:pStyle w:val="ListParagraph"/>
        <w:numPr>
          <w:ilvl w:val="0"/>
          <w:numId w:val="2"/>
        </w:numPr>
        <w:spacing w:after="70" w:line="280"/>
      </w:pPr>
      <w:r>
        <w:rPr>
          <w:rFonts w:ascii="Calibri" w:cs="Calibri" w:eastAsia="Calibri" w:hAnsi="Calibri"/>
          <w:color w:val="0E1A1C"/>
          <w:sz w:val="21"/>
          <w:szCs w:val="21"/>
        </w:rPr>
        <w:t xml:space="preserve">Semi-gestructureerd overslaan; het is het minst bekende van de drie.</w:t>
      </w:r>
    </w:p>
    <w:p>
      <w:pPr>
        <w:pStyle w:val="ListParagraph"/>
        <w:numPr>
          <w:ilvl w:val="0"/>
          <w:numId w:val="2"/>
        </w:numPr>
        <w:spacing w:after="70" w:line="280"/>
      </w:pPr>
      <w:r>
        <w:rPr>
          <w:rFonts w:ascii="Calibri" w:cs="Calibri" w:eastAsia="Calibri" w:hAnsi="Calibri"/>
          <w:color w:val="0E1A1C"/>
          <w:sz w:val="21"/>
          <w:szCs w:val="21"/>
        </w:rPr>
        <w:t xml:space="preserve">De beheergevolgen niet benoemen — de indeling zelf is niet het leerdoel.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bewaart jouw eigen organisatie documenten waar niemand een bewaartermijn op heeft gezet?</w:t>
            </w:r>
          </w:p>
        </w:tc>
      </w:tr>
    </w:tbl>
    <w:p>
      <w:pPr>
        <w:pStyle w:val="Heading2"/>
        <w:spacing w:after="140" w:before="340"/>
      </w:pPr>
      <w:r>
        <w:rPr>
          <w:rFonts w:ascii="Cambria" w:cs="Cambria" w:eastAsia="Cambria" w:hAnsi="Cambria"/>
          <w:b/>
          <w:bCs/>
          <w:color w:val="0E1A1C"/>
          <w:sz w:val="26"/>
          <w:szCs w:val="26"/>
        </w:rPr>
        <w:t xml:space="preserve">Opdracht 2 — Entiteiten en attributen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Entiteiten: Deelnemer, Werkgever, Regeling, Premiebetaling, en met goede argumentatie ook Partner en Kind.</w:t>
      </w:r>
    </w:p>
    <w:p>
      <w:pPr>
        <w:pStyle w:val="ListParagraph"/>
        <w:numPr>
          <w:ilvl w:val="0"/>
          <w:numId w:val="2"/>
        </w:numPr>
        <w:spacing w:after="70" w:line="280"/>
      </w:pPr>
      <w:r>
        <w:rPr>
          <w:rFonts w:ascii="Calibri" w:cs="Calibri" w:eastAsia="Calibri" w:hAnsi="Calibri"/>
          <w:color w:val="0E1A1C"/>
          <w:sz w:val="21"/>
          <w:szCs w:val="21"/>
        </w:rPr>
        <w:t xml:space="preserve">Attributen correct toegewezen: opbouwpercentage en ingangsdatum horen bij de relatie tussen Deelnemer en Regeling, niet bij een van beide.</w:t>
      </w:r>
    </w:p>
    <w:p>
      <w:pPr>
        <w:pStyle w:val="ListParagraph"/>
        <w:numPr>
          <w:ilvl w:val="0"/>
          <w:numId w:val="2"/>
        </w:numPr>
        <w:spacing w:after="70" w:line="280"/>
      </w:pPr>
      <w:r>
        <w:rPr>
          <w:rFonts w:ascii="Calibri" w:cs="Calibri" w:eastAsia="Calibri" w:hAnsi="Calibri"/>
          <w:color w:val="0E1A1C"/>
          <w:sz w:val="21"/>
          <w:szCs w:val="21"/>
        </w:rPr>
        <w:t xml:space="preserve">Partner benoemd als twijfelgeval, met het inzicht dat "partnernaam" als attribuut de partner onvindbaar maakt.</w:t>
      </w:r>
    </w:p>
    <w:p>
      <w:pPr>
        <w:pStyle w:val="ListParagraph"/>
        <w:numPr>
          <w:ilvl w:val="0"/>
          <w:numId w:val="2"/>
        </w:numPr>
        <w:spacing w:after="70" w:line="280"/>
      </w:pPr>
      <w:r>
        <w:rPr>
          <w:rFonts w:ascii="Calibri" w:cs="Calibri" w:eastAsia="Calibri" w:hAnsi="Calibri"/>
          <w:color w:val="0E1A1C"/>
          <w:sz w:val="21"/>
          <w:szCs w:val="21"/>
        </w:rPr>
        <w:t xml:space="preserve">Periode bij Premiebetaling herkend als iets wat later een eigen betekenis krijgt.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Partner en Kind als attributen van Deelnemer. Vraag wat er gebeurt bij twee kinderen — of bij een scheiding.</w:t>
      </w:r>
    </w:p>
    <w:p>
      <w:pPr>
        <w:pStyle w:val="ListParagraph"/>
        <w:numPr>
          <w:ilvl w:val="0"/>
          <w:numId w:val="2"/>
        </w:numPr>
        <w:spacing w:after="70" w:line="280"/>
      </w:pPr>
      <w:r>
        <w:rPr>
          <w:rFonts w:ascii="Calibri" w:cs="Calibri" w:eastAsia="Calibri" w:hAnsi="Calibri"/>
          <w:color w:val="0E1A1C"/>
          <w:sz w:val="21"/>
          <w:szCs w:val="21"/>
        </w:rPr>
        <w:t xml:space="preserve">Opbouwpercentage bij Regeling leggen. Dat lijkt logisch tot je een deelnemer met een afwijkend percentage tegenkomt.</w:t>
      </w:r>
    </w:p>
    <w:p>
      <w:pPr>
        <w:pStyle w:val="ListParagraph"/>
        <w:numPr>
          <w:ilvl w:val="0"/>
          <w:numId w:val="2"/>
        </w:numPr>
        <w:spacing w:after="70" w:line="280"/>
      </w:pPr>
      <w:r>
        <w:rPr>
          <w:rFonts w:ascii="Calibri" w:cs="Calibri" w:eastAsia="Calibri" w:hAnsi="Calibri"/>
          <w:color w:val="0E1A1C"/>
          <w:sz w:val="21"/>
          <w:szCs w:val="21"/>
        </w:rPr>
        <w:t xml:space="preserve">"Pensioen" als entiteit; dat is een concept, geen ding waarover je regels vastlegt.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in jullie model als een deelnemer scheidt en de ex-partner rechten houdt?</w:t>
            </w:r>
          </w:p>
        </w:tc>
      </w:tr>
    </w:tbl>
    <w:p>
      <w:pPr>
        <w:pStyle w:val="Heading2"/>
        <w:spacing w:after="140" w:before="340"/>
      </w:pPr>
      <w:r>
        <w:rPr>
          <w:rFonts w:ascii="Cambria" w:cs="Cambria" w:eastAsia="Cambria" w:hAnsi="Cambria"/>
          <w:b/>
          <w:bCs/>
          <w:color w:val="0E1A1C"/>
          <w:sz w:val="26"/>
          <w:szCs w:val="26"/>
        </w:rPr>
        <w:t xml:space="preserve">Opdracht 3 — Sleutels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Surrogaatsleutels voor alle vier de entiteiten, met de natuurlijke sleutel als attribuut plus uniciteitsregel.</w:t>
      </w:r>
    </w:p>
    <w:p>
      <w:pPr>
        <w:pStyle w:val="ListParagraph"/>
        <w:numPr>
          <w:ilvl w:val="0"/>
          <w:numId w:val="2"/>
        </w:numPr>
        <w:spacing w:after="70" w:line="280"/>
      </w:pPr>
      <w:r>
        <w:rPr>
          <w:rFonts w:ascii="Calibri" w:cs="Calibri" w:eastAsia="Calibri" w:hAnsi="Calibri"/>
          <w:color w:val="0E1A1C"/>
          <w:sz w:val="21"/>
          <w:szCs w:val="21"/>
        </w:rPr>
        <w:t xml:space="preserve">Het buitenlandscenario correct doorgedacht: geen BSN, dus of een alternatieve identificatie of een uitzonderingsregime — en dat kan niet als de sleutel eraan hangt.</w:t>
      </w:r>
    </w:p>
    <w:p>
      <w:pPr>
        <w:pStyle w:val="ListParagraph"/>
        <w:numPr>
          <w:ilvl w:val="0"/>
          <w:numId w:val="2"/>
        </w:numPr>
        <w:spacing w:after="70" w:line="280"/>
      </w:pPr>
      <w:r>
        <w:rPr>
          <w:rFonts w:ascii="Calibri" w:cs="Calibri" w:eastAsia="Calibri" w:hAnsi="Calibri"/>
          <w:color w:val="0E1A1C"/>
          <w:sz w:val="21"/>
          <w:szCs w:val="21"/>
        </w:rPr>
        <w:t xml:space="preserve">Bij Premiebetaling de verleiding tot een samengestelde sleutel herkend en beargumenteerd afgewezen.</w:t>
      </w:r>
    </w:p>
    <w:p>
      <w:pPr>
        <w:pStyle w:val="ListParagraph"/>
        <w:numPr>
          <w:ilvl w:val="0"/>
          <w:numId w:val="2"/>
        </w:numPr>
        <w:spacing w:after="70" w:line="280"/>
      </w:pPr>
      <w:r>
        <w:rPr>
          <w:rFonts w:ascii="Calibri" w:cs="Calibri" w:eastAsia="Calibri" w:hAnsi="Calibri"/>
          <w:color w:val="0E1A1C"/>
          <w:sz w:val="21"/>
          <w:szCs w:val="21"/>
        </w:rPr>
        <w:t xml:space="preserve">De opmerking dat een BSN als sleutel ook een privacyprobleem is, omdat hij dan in elke afgeleide tabel meereist.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Polisnummer als onveranderlijk beschouwen. Vraag wat er gebeurt bij een collectieve overgang naar een nieuwe regeling.</w:t>
      </w:r>
    </w:p>
    <w:p>
      <w:pPr>
        <w:pStyle w:val="ListParagraph"/>
        <w:numPr>
          <w:ilvl w:val="0"/>
          <w:numId w:val="2"/>
        </w:numPr>
        <w:spacing w:after="70" w:line="280"/>
      </w:pPr>
      <w:r>
        <w:rPr>
          <w:rFonts w:ascii="Calibri" w:cs="Calibri" w:eastAsia="Calibri" w:hAnsi="Calibri"/>
          <w:color w:val="0E1A1C"/>
          <w:sz w:val="21"/>
          <w:szCs w:val="21"/>
        </w:rPr>
        <w:t xml:space="preserve">Alleen technische argumenten geven. De sterkste argumenten zijn hier juridisch en bedrijfsmatig.</w:t>
      </w:r>
    </w:p>
    <w:p>
      <w:pPr>
        <w:pStyle w:val="ListParagraph"/>
        <w:numPr>
          <w:ilvl w:val="0"/>
          <w:numId w:val="2"/>
        </w:numPr>
        <w:spacing w:after="70" w:line="280"/>
      </w:pPr>
      <w:r>
        <w:rPr>
          <w:rFonts w:ascii="Calibri" w:cs="Calibri" w:eastAsia="Calibri" w:hAnsi="Calibri"/>
          <w:color w:val="0E1A1C"/>
          <w:sz w:val="21"/>
          <w:szCs w:val="21"/>
        </w:rPr>
        <w:t xml:space="preserve">Het onderscheid tussen identificeren in het systeem en herkennen in de werkelijkheid niet maken.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natuurlijke sleutel in jouw eigen landschap is ooit gewijzigd, en wat brak er toen?</w:t>
            </w:r>
          </w:p>
        </w:tc>
      </w:tr>
    </w:tbl>
    <w:p>
      <w:pPr>
        <w:pStyle w:val="Heading2"/>
        <w:spacing w:after="140" w:before="340"/>
      </w:pPr>
      <w:r>
        <w:rPr>
          <w:rFonts w:ascii="Cambria" w:cs="Cambria" w:eastAsia="Cambria" w:hAnsi="Cambria"/>
          <w:b/>
          <w:bCs/>
          <w:color w:val="0E1A1C"/>
          <w:sz w:val="26"/>
          <w:szCs w:val="26"/>
        </w:rPr>
        <w:t xml:space="preserve">Opdracht 4 — Relaties en kardinaliteit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Deelnemer–Regeling correct als veel-op-veel herkend, met Deelname als koppelentiteit inclusief ingangsdatum, einddatum en opbouwpercentage.</w:t>
      </w:r>
    </w:p>
    <w:p>
      <w:pPr>
        <w:pStyle w:val="ListParagraph"/>
        <w:numPr>
          <w:ilvl w:val="0"/>
          <w:numId w:val="2"/>
        </w:numPr>
        <w:spacing w:after="70" w:line="280"/>
      </w:pPr>
      <w:r>
        <w:rPr>
          <w:rFonts w:ascii="Calibri" w:cs="Calibri" w:eastAsia="Calibri" w:hAnsi="Calibri"/>
          <w:color w:val="0E1A1C"/>
          <w:sz w:val="21"/>
          <w:szCs w:val="21"/>
        </w:rPr>
        <w:t xml:space="preserve">Werkgever–Regeling eveneens veel-op-veel, wat vaak wordt gemist.</w:t>
      </w:r>
    </w:p>
    <w:p>
      <w:pPr>
        <w:pStyle w:val="ListParagraph"/>
        <w:numPr>
          <w:ilvl w:val="0"/>
          <w:numId w:val="2"/>
        </w:numPr>
        <w:spacing w:after="70" w:line="280"/>
      </w:pPr>
      <w:r>
        <w:rPr>
          <w:rFonts w:ascii="Calibri" w:cs="Calibri" w:eastAsia="Calibri" w:hAnsi="Calibri"/>
          <w:color w:val="0E1A1C"/>
          <w:sz w:val="21"/>
          <w:szCs w:val="21"/>
        </w:rPr>
        <w:t xml:space="preserve">Optionaliteit per kant apart bepaald in plaats van in één keer.</w:t>
      </w:r>
    </w:p>
    <w:p>
      <w:pPr>
        <w:pStyle w:val="ListParagraph"/>
        <w:numPr>
          <w:ilvl w:val="0"/>
          <w:numId w:val="2"/>
        </w:numPr>
        <w:spacing w:after="70" w:line="280"/>
      </w:pPr>
      <w:r>
        <w:rPr>
          <w:rFonts w:ascii="Calibri" w:cs="Calibri" w:eastAsia="Calibri" w:hAnsi="Calibri"/>
          <w:color w:val="0E1A1C"/>
          <w:sz w:val="21"/>
          <w:szCs w:val="21"/>
        </w:rPr>
        <w:t xml:space="preserve">De partnerrelatie herkend als optioneel, met de observatie dat verplichtstelling tot dummywaarden leidt.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Kardinaliteit en optionaliteit samen lezen. Laat ze het expliciet als twee vragen stellen.</w:t>
      </w:r>
    </w:p>
    <w:p>
      <w:pPr>
        <w:pStyle w:val="ListParagraph"/>
        <w:numPr>
          <w:ilvl w:val="0"/>
          <w:numId w:val="2"/>
        </w:numPr>
        <w:spacing w:after="70" w:line="280"/>
      </w:pPr>
      <w:r>
        <w:rPr>
          <w:rFonts w:ascii="Calibri" w:cs="Calibri" w:eastAsia="Calibri" w:hAnsi="Calibri"/>
          <w:color w:val="0E1A1C"/>
          <w:sz w:val="21"/>
          <w:szCs w:val="21"/>
        </w:rPr>
        <w:t xml:space="preserve">De koppelentiteit leeg laten. Vraag: welke eigenschap hoort bij de relatie zelf?</w:t>
      </w:r>
    </w:p>
    <w:p>
      <w:pPr>
        <w:pStyle w:val="ListParagraph"/>
        <w:numPr>
          <w:ilvl w:val="0"/>
          <w:numId w:val="2"/>
        </w:numPr>
        <w:spacing w:after="70" w:line="280"/>
      </w:pPr>
      <w:r>
        <w:rPr>
          <w:rFonts w:ascii="Calibri" w:cs="Calibri" w:eastAsia="Calibri" w:hAnsi="Calibri"/>
          <w:color w:val="0E1A1C"/>
          <w:sz w:val="21"/>
          <w:szCs w:val="21"/>
        </w:rPr>
        <w:t xml:space="preserve">Elke relatie verplicht maken omdat het "netter" oogt. Dat is precies hoe het e-mailprobleem is ontstaan.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relatie in jullie ontwerp zou een medewerker dwingen om iets te verzinnen?</w:t>
            </w:r>
          </w:p>
        </w:tc>
      </w:tr>
    </w:tbl>
    <w:p>
      <w:pPr>
        <w:pStyle w:val="Heading2"/>
        <w:spacing w:after="140" w:before="340"/>
      </w:pPr>
      <w:r>
        <w:rPr>
          <w:rFonts w:ascii="Cambria" w:cs="Cambria" w:eastAsia="Cambria" w:hAnsi="Cambria"/>
          <w:b/>
          <w:bCs/>
          <w:color w:val="0E1A1C"/>
          <w:sz w:val="26"/>
          <w:szCs w:val="26"/>
        </w:rPr>
        <w:t xml:space="preserve">Opdracht 5 — Normaliseren tot 3NF</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1NF: regelingen uit één veld gehaald, waardoor tellen en filteren mogelijk wordt.</w:t>
      </w:r>
    </w:p>
    <w:p>
      <w:pPr>
        <w:pStyle w:val="ListParagraph"/>
        <w:numPr>
          <w:ilvl w:val="0"/>
          <w:numId w:val="2"/>
        </w:numPr>
        <w:spacing w:after="70" w:line="280"/>
      </w:pPr>
      <w:r>
        <w:rPr>
          <w:rFonts w:ascii="Calibri" w:cs="Calibri" w:eastAsia="Calibri" w:hAnsi="Calibri"/>
          <w:color w:val="0E1A1C"/>
          <w:sz w:val="21"/>
          <w:szCs w:val="21"/>
        </w:rPr>
        <w:t xml:space="preserve">2NF: deelnemernaam hangt van de deelnemer af, niet van de combinatie deelnemer-en-regeling.</w:t>
      </w:r>
    </w:p>
    <w:p>
      <w:pPr>
        <w:pStyle w:val="ListParagraph"/>
        <w:numPr>
          <w:ilvl w:val="0"/>
          <w:numId w:val="2"/>
        </w:numPr>
        <w:spacing w:after="70" w:line="280"/>
      </w:pPr>
      <w:r>
        <w:rPr>
          <w:rFonts w:ascii="Calibri" w:cs="Calibri" w:eastAsia="Calibri" w:hAnsi="Calibri"/>
          <w:color w:val="0E1A1C"/>
          <w:sz w:val="21"/>
          <w:szCs w:val="21"/>
        </w:rPr>
        <w:t xml:space="preserve">3NF: werkgevernaam en -adres verhuizen naar een eigen entiteit Werkgever.</w:t>
      </w:r>
    </w:p>
    <w:p>
      <w:pPr>
        <w:pStyle w:val="ListParagraph"/>
        <w:numPr>
          <w:ilvl w:val="0"/>
          <w:numId w:val="2"/>
        </w:numPr>
        <w:spacing w:after="70" w:line="280"/>
      </w:pPr>
      <w:r>
        <w:rPr>
          <w:rFonts w:ascii="Calibri" w:cs="Calibri" w:eastAsia="Calibri" w:hAnsi="Calibri"/>
          <w:color w:val="0E1A1C"/>
          <w:sz w:val="21"/>
          <w:szCs w:val="21"/>
        </w:rPr>
        <w:t xml:space="preserve">Het verhuisscenario concreet uitgeschreven: in de platte tabel moet het adres bij elke deelnemer worden bijgewerkt, en dat gebeurt nooit volledig.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regels reciteren zonder het probleem te benoemen. Vraag consequent: welke fout kan er nu niet meer ontstaan?</w:t>
      </w:r>
    </w:p>
    <w:p>
      <w:pPr>
        <w:pStyle w:val="ListParagraph"/>
        <w:numPr>
          <w:ilvl w:val="0"/>
          <w:numId w:val="2"/>
        </w:numPr>
        <w:spacing w:after="70" w:line="280"/>
      </w:pPr>
      <w:r>
        <w:rPr>
          <w:rFonts w:ascii="Calibri" w:cs="Calibri" w:eastAsia="Calibri" w:hAnsi="Calibri"/>
          <w:color w:val="0E1A1C"/>
          <w:sz w:val="21"/>
          <w:szCs w:val="21"/>
        </w:rPr>
        <w:t xml:space="preserve">2NF overslaan omdat de sleutel enkelvoudig lijkt. Wijs op de samengestelde sleutel na de 1NF-stap.</w:t>
      </w:r>
    </w:p>
    <w:p>
      <w:pPr>
        <w:pStyle w:val="ListParagraph"/>
        <w:numPr>
          <w:ilvl w:val="0"/>
          <w:numId w:val="2"/>
        </w:numPr>
        <w:spacing w:after="70" w:line="280"/>
      </w:pPr>
      <w:r>
        <w:rPr>
          <w:rFonts w:ascii="Calibri" w:cs="Calibri" w:eastAsia="Calibri" w:hAnsi="Calibri"/>
          <w:color w:val="0E1A1C"/>
          <w:sz w:val="21"/>
          <w:szCs w:val="21"/>
        </w:rPr>
        <w:t xml:space="preserve">Doorschieten naar hogere normaalvormen. Voor niveau 1 stopt het bij 3NF.</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Meridiaan heeft dezelfde werkgever met drie verschillende adressen. Welke normaalvorm had dat voorkomen?</w:t>
            </w:r>
          </w:p>
        </w:tc>
      </w:tr>
    </w:tbl>
    <w:p>
      <w:pPr>
        <w:pStyle w:val="Heading2"/>
        <w:spacing w:after="140" w:before="340"/>
      </w:pPr>
      <w:r>
        <w:rPr>
          <w:rFonts w:ascii="Cambria" w:cs="Cambria" w:eastAsia="Cambria" w:hAnsi="Cambria"/>
          <w:b/>
          <w:bCs/>
          <w:color w:val="0E1A1C"/>
          <w:sz w:val="26"/>
          <w:szCs w:val="26"/>
        </w:rPr>
        <w:t xml:space="preserve">Opdracht 6 — Conceptueel model tekenen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Maximaal acht entiteiten, geen attributen, geen sleutels — de beperking is de oefening.</w:t>
      </w:r>
    </w:p>
    <w:p>
      <w:pPr>
        <w:pStyle w:val="ListParagraph"/>
        <w:numPr>
          <w:ilvl w:val="0"/>
          <w:numId w:val="2"/>
        </w:numPr>
        <w:spacing w:after="70" w:line="280"/>
      </w:pPr>
      <w:r>
        <w:rPr>
          <w:rFonts w:ascii="Calibri" w:cs="Calibri" w:eastAsia="Calibri" w:hAnsi="Calibri"/>
          <w:color w:val="0E1A1C"/>
          <w:sz w:val="21"/>
          <w:szCs w:val="21"/>
        </w:rPr>
        <w:t xml:space="preserve">Definities van één zin in bedrijfstaal, zonder verwijzing naar systemen.</w:t>
      </w:r>
    </w:p>
    <w:p>
      <w:pPr>
        <w:pStyle w:val="ListParagraph"/>
        <w:numPr>
          <w:ilvl w:val="0"/>
          <w:numId w:val="2"/>
        </w:numPr>
        <w:spacing w:after="70" w:line="280"/>
      </w:pPr>
      <w:r>
        <w:rPr>
          <w:rFonts w:ascii="Calibri" w:cs="Calibri" w:eastAsia="Calibri" w:hAnsi="Calibri"/>
          <w:color w:val="0E1A1C"/>
          <w:sz w:val="21"/>
          <w:szCs w:val="21"/>
        </w:rPr>
        <w:t xml:space="preserve">Een definitie van "actieve deelnemer" die een expliciete keuze maakt en die keuze benoemt, bijvoorbeeld over deelnemers met premievrije opbouw.</w:t>
      </w:r>
    </w:p>
    <w:p>
      <w:pPr>
        <w:pStyle w:val="ListParagraph"/>
        <w:numPr>
          <w:ilvl w:val="0"/>
          <w:numId w:val="2"/>
        </w:numPr>
        <w:spacing w:after="70" w:line="280"/>
      </w:pPr>
      <w:r>
        <w:rPr>
          <w:rFonts w:ascii="Calibri" w:cs="Calibri" w:eastAsia="Calibri" w:hAnsi="Calibri"/>
          <w:color w:val="0E1A1C"/>
          <w:sz w:val="21"/>
          <w:szCs w:val="21"/>
        </w:rPr>
        <w:t xml:space="preserve">Herkenning dat de entiteit Deelname of Regeling de meeste discussie oplevert bij de directeuren.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Attributen toevoegen. Grijp meteen in; dit is de meest voorkomende afwijking.</w:t>
      </w:r>
    </w:p>
    <w:p>
      <w:pPr>
        <w:pStyle w:val="ListParagraph"/>
        <w:numPr>
          <w:ilvl w:val="0"/>
          <w:numId w:val="2"/>
        </w:numPr>
        <w:spacing w:after="70" w:line="280"/>
      </w:pPr>
      <w:r>
        <w:rPr>
          <w:rFonts w:ascii="Calibri" w:cs="Calibri" w:eastAsia="Calibri" w:hAnsi="Calibri"/>
          <w:color w:val="0E1A1C"/>
          <w:sz w:val="21"/>
          <w:szCs w:val="21"/>
        </w:rPr>
        <w:t xml:space="preserve">Definities die het begrip herhalen: "een deelnemer is iemand die deelneemt".</w:t>
      </w:r>
    </w:p>
    <w:p>
      <w:pPr>
        <w:pStyle w:val="ListParagraph"/>
        <w:numPr>
          <w:ilvl w:val="0"/>
          <w:numId w:val="2"/>
        </w:numPr>
        <w:spacing w:after="70" w:line="280"/>
      </w:pPr>
      <w:r>
        <w:rPr>
          <w:rFonts w:ascii="Calibri" w:cs="Calibri" w:eastAsia="Calibri" w:hAnsi="Calibri"/>
          <w:color w:val="0E1A1C"/>
          <w:sz w:val="21"/>
          <w:szCs w:val="21"/>
        </w:rPr>
        <w:t xml:space="preserve">Een definitie van "actieve deelnemer" die alle vier de bestaande varianten probeert te verenigen. Een definitie kiest.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Leg je model in vijf minuten uit aan iemand zonder IT-achtergrond. Lukt dat niet, wat moet er dan weg?</w:t>
            </w:r>
          </w:p>
        </w:tc>
      </w:tr>
    </w:tbl>
    <w:p>
      <w:pPr>
        <w:pStyle w:val="Heading2"/>
        <w:spacing w:after="140" w:before="340"/>
      </w:pPr>
      <w:r>
        <w:rPr>
          <w:rFonts w:ascii="Cambria" w:cs="Cambria" w:eastAsia="Cambria" w:hAnsi="Cambria"/>
          <w:b/>
          <w:bCs/>
          <w:color w:val="0E1A1C"/>
          <w:sz w:val="26"/>
          <w:szCs w:val="26"/>
        </w:rPr>
        <w:t xml:space="preserve">Opdracht 7 — Modelreview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zes fouten gevonden: de rapportentiteit, de ontbrekende sleutel, de verplichte partnerrelatie, het werkgeveradres bij Deelnemer, de onopgeloste veel-op-veel en het ontbreken van definities.</w:t>
      </w:r>
    </w:p>
    <w:p>
      <w:pPr>
        <w:pStyle w:val="ListParagraph"/>
        <w:numPr>
          <w:ilvl w:val="0"/>
          <w:numId w:val="2"/>
        </w:numPr>
        <w:spacing w:after="70" w:line="280"/>
      </w:pPr>
      <w:r>
        <w:rPr>
          <w:rFonts w:ascii="Calibri" w:cs="Calibri" w:eastAsia="Calibri" w:hAnsi="Calibri"/>
          <w:color w:val="0E1A1C"/>
          <w:sz w:val="21"/>
          <w:szCs w:val="21"/>
        </w:rPr>
        <w:t xml:space="preserve">Bevindingen gerangschikt naar impact in plaats van naar volgorde van vinden.</w:t>
      </w:r>
    </w:p>
    <w:p>
      <w:pPr>
        <w:pStyle w:val="ListParagraph"/>
        <w:numPr>
          <w:ilvl w:val="0"/>
          <w:numId w:val="2"/>
        </w:numPr>
        <w:spacing w:after="70" w:line="280"/>
      </w:pPr>
      <w:r>
        <w:rPr>
          <w:rFonts w:ascii="Calibri" w:cs="Calibri" w:eastAsia="Calibri" w:hAnsi="Calibri"/>
          <w:color w:val="0E1A1C"/>
          <w:sz w:val="21"/>
          <w:szCs w:val="21"/>
        </w:rPr>
        <w:t xml:space="preserve">Opmerkingen geformuleerd als vraag in plaats van als oordeel.</w:t>
      </w:r>
    </w:p>
    <w:p>
      <w:pPr>
        <w:pStyle w:val="ListParagraph"/>
        <w:numPr>
          <w:ilvl w:val="0"/>
          <w:numId w:val="2"/>
        </w:numPr>
        <w:spacing w:after="70" w:line="280"/>
      </w:pPr>
      <w:r>
        <w:rPr>
          <w:rFonts w:ascii="Calibri" w:cs="Calibri" w:eastAsia="Calibri" w:hAnsi="Calibri"/>
          <w:color w:val="0E1A1C"/>
          <w:sz w:val="21"/>
          <w:szCs w:val="21"/>
        </w:rPr>
        <w:t xml:space="preserve">Het ontbreken van definities benoemd als de zwaarste bevinding — zonder definities is het geen model.</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Vier of vijf fouten vinden en stoppen. De ontbrekende definities worden het vaakst gemist, juist omdat er niets staat.</w:t>
      </w:r>
    </w:p>
    <w:p>
      <w:pPr>
        <w:pStyle w:val="ListParagraph"/>
        <w:numPr>
          <w:ilvl w:val="0"/>
          <w:numId w:val="2"/>
        </w:numPr>
        <w:spacing w:after="70" w:line="280"/>
      </w:pPr>
      <w:r>
        <w:rPr>
          <w:rFonts w:ascii="Calibri" w:cs="Calibri" w:eastAsia="Calibri" w:hAnsi="Calibri"/>
          <w:color w:val="0E1A1C"/>
          <w:sz w:val="21"/>
          <w:szCs w:val="21"/>
        </w:rPr>
        <w:t xml:space="preserve">Bevindingen als lijstje afvinken zonder het praktijkgevolg te benoemen.</w:t>
      </w:r>
    </w:p>
    <w:p>
      <w:pPr>
        <w:pStyle w:val="ListParagraph"/>
        <w:numPr>
          <w:ilvl w:val="0"/>
          <w:numId w:val="2"/>
        </w:numPr>
        <w:spacing w:after="70" w:line="280"/>
      </w:pPr>
      <w:r>
        <w:rPr>
          <w:rFonts w:ascii="Calibri" w:cs="Calibri" w:eastAsia="Calibri" w:hAnsi="Calibri"/>
          <w:color w:val="0E1A1C"/>
          <w:sz w:val="21"/>
          <w:szCs w:val="21"/>
        </w:rPr>
        <w:t xml:space="preserve">Reviewtoon die de maker in het defensief drukt. Laat één opmerking hardop oefenen.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breng je de bevinding "er staan geen definities in" aan iemand die drie weken aan dit model heeft gewerkt?</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Waarom kiezen modelleurs vaak een surrogaatsleutel boven een burgerservicenummer?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surrogaatsleutel is stabiel en niet afhankelijk van veranderende werkelijkheid of wetgeving.</w:t>
      </w:r>
    </w:p>
    <w:p>
      <w:pPr>
        <w:spacing w:after="40" w:line="275"/>
        <w:ind w:left="420"/>
      </w:pPr>
      <w:r>
        <w:rPr>
          <w:rFonts w:ascii="Calibri" w:cs="Calibri" w:eastAsia="Calibri" w:hAnsi="Calibri"/>
          <w:color w:val="5F7375"/>
          <w:sz w:val="19"/>
          <w:szCs w:val="19"/>
        </w:rPr>
        <w:t xml:space="preserve">De natuurlijke sleutel kan wijzigen of ontbreken — bijvoorbeeld bij buitenlandse deelnemers. De praktijkregel: surrogaat als identificatie, natuurlijke sleutel als attribuut met een eigen uniciteitsregel.</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Een deelnemer kan meerdere regelingen hebben en een regeling meerdere deelnemers. Wat gebeurt er bij het uitwerken?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Er ontstaat een koppelentiteit, die meestal zelf betekenis blijkt te hebben.</w:t>
      </w:r>
    </w:p>
    <w:p>
      <w:pPr>
        <w:spacing w:after="40" w:line="275"/>
        <w:ind w:left="420"/>
      </w:pPr>
      <w:r>
        <w:rPr>
          <w:rFonts w:ascii="Calibri" w:cs="Calibri" w:eastAsia="Calibri" w:hAnsi="Calibri"/>
          <w:color w:val="5F7375"/>
          <w:sz w:val="19"/>
          <w:szCs w:val="19"/>
        </w:rPr>
        <w:t xml:space="preserve">Veel-op-veel is fysiek onbouwbaar. De koppelentiteit — hier Deelname, met ingangsdatum en opbouwpercentage — is geen technisch trucje maar meestal een vergeten begrip.</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Welk probleem lost de derde normaalvorm op?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Attributen die van een ander niet-sleutelattribuut afhangen.</w:t>
      </w:r>
    </w:p>
    <w:p>
      <w:pPr>
        <w:spacing w:after="40" w:line="275"/>
        <w:ind w:left="420"/>
      </w:pPr>
      <w:r>
        <w:rPr>
          <w:rFonts w:ascii="Calibri" w:cs="Calibri" w:eastAsia="Calibri" w:hAnsi="Calibri"/>
          <w:color w:val="5F7375"/>
          <w:sz w:val="19"/>
          <w:szCs w:val="19"/>
        </w:rPr>
        <w:t xml:space="preserve">Het werkgeveradres hangt af van de werkgever, niet van de deelnemer. Zonder 3NF krijgt dezelfde werkgever bij elke deelnemer een eigen adres — en dus drie verschillende bij een verhuizing.</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Voor welk publiek is een conceptueel datamodel primair bedoeld?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Business, bestuur en toezichthouder</w:t>
      </w:r>
    </w:p>
    <w:p>
      <w:pPr>
        <w:spacing w:after="40" w:line="275"/>
        <w:ind w:left="420"/>
      </w:pPr>
      <w:r>
        <w:rPr>
          <w:rFonts w:ascii="Calibri" w:cs="Calibri" w:eastAsia="Calibri" w:hAnsi="Calibri"/>
          <w:color w:val="5F7375"/>
          <w:sz w:val="19"/>
          <w:szCs w:val="19"/>
        </w:rPr>
        <w:t xml:space="preserve">Het CDM is het enige artefact waarin een bestuurder en een ontwikkelaar dezelfde taal spreken. Daarom horen er geen datatypes en sleutels in.</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het verschil tussen kardinaliteit en optionaliteit?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A — Kardinaliteit gaat over hoeveel, optionaliteit over of de relatie moet bestaan.</w:t>
      </w:r>
    </w:p>
    <w:p>
      <w:pPr>
        <w:spacing w:after="40" w:line="275"/>
        <w:ind w:left="420"/>
      </w:pPr>
      <w:r>
        <w:rPr>
          <w:rFonts w:ascii="Calibri" w:cs="Calibri" w:eastAsia="Calibri" w:hAnsi="Calibri"/>
          <w:color w:val="5F7375"/>
          <w:sz w:val="19"/>
          <w:szCs w:val="19"/>
        </w:rPr>
        <w:t xml:space="preserve">Het zijn twee onafhankelijke eigenschappen van dezelfde relatie. Ze worden vaak samen getekend en daardoor samen gelezen, wat tot fouten leidt.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In een rapportageomgeving worden gegevens bewust weer samengevoegd. Hoe heet dat en waarom gebeurt het?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Denormaliseren, omdat lezen daar belangrijker is dan wijzigen.</w:t>
      </w:r>
    </w:p>
    <w:p>
      <w:pPr>
        <w:spacing w:after="40" w:line="275"/>
        <w:ind w:left="420"/>
      </w:pPr>
      <w:r>
        <w:rPr>
          <w:rFonts w:ascii="Calibri" w:cs="Calibri" w:eastAsia="Calibri" w:hAnsi="Calibri"/>
          <w:color w:val="5F7375"/>
          <w:sz w:val="19"/>
          <w:szCs w:val="19"/>
        </w:rPr>
        <w:t xml:space="preserve">Normaliseren optimaliseert voor consistentie bij wijzigen, denormaliseren voor snelheid bij lezen. Het is geen fout maar een andere afweging voor een ander doel.</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Een model bevat een entiteit "Overzicht deelnemergegevens". Wat is hier waarschijnlijk misgegaan?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scherm of rapport is als entiteit gemodelleerd.</w:t>
      </w:r>
    </w:p>
    <w:p>
      <w:pPr>
        <w:spacing w:after="40" w:line="275"/>
        <w:ind w:left="420"/>
      </w:pPr>
      <w:r>
        <w:rPr>
          <w:rFonts w:ascii="Calibri" w:cs="Calibri" w:eastAsia="Calibri" w:hAnsi="Calibri"/>
          <w:color w:val="5F7375"/>
          <w:sz w:val="19"/>
          <w:szCs w:val="19"/>
        </w:rPr>
        <w:t xml:space="preserve">Een entiteit is een soort ding waarover je gegevens vastlegt, geen presentatievorm. Dit is een van de meest voorkomende modelfouten en verraadt dat het model vanuit de schermen is getekend.</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Welke soort data wordt in de praktijk het vaakst zonder eigenaar beheerd?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Referentiedata</w:t>
      </w:r>
    </w:p>
    <w:p>
      <w:pPr>
        <w:spacing w:after="40" w:line="275"/>
        <w:ind w:left="420"/>
      </w:pPr>
      <w:r>
        <w:rPr>
          <w:rFonts w:ascii="Calibri" w:cs="Calibri" w:eastAsia="Calibri" w:hAnsi="Calibri"/>
          <w:color w:val="5F7375"/>
          <w:sz w:val="19"/>
          <w:szCs w:val="19"/>
        </w:rPr>
        <w:t xml:space="preserve">Codelijsten en classificaties worden vaak extern bepaald en daarna vergeten. Ze wijzigen zelden, waardoor niemand merkt dat het beheer nergens is belegd — tot een code verandert.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Bij Meridiaan is het e-mailveld verplicht en vult een medewerker daarom altijd hetzelfde adres in. Welke modelbeslissing ligt hieraan ten grondslag?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relatie of attribuut verplicht gemaakt terwijl de werkelijkheid uitzonderingen kent.</w:t>
      </w:r>
    </w:p>
    <w:p>
      <w:pPr>
        <w:spacing w:after="40" w:line="275"/>
        <w:ind w:left="420"/>
      </w:pPr>
      <w:r>
        <w:rPr>
          <w:rFonts w:ascii="Calibri" w:cs="Calibri" w:eastAsia="Calibri" w:hAnsi="Calibri"/>
          <w:color w:val="5F7375"/>
          <w:sz w:val="19"/>
          <w:szCs w:val="19"/>
        </w:rPr>
        <w:t xml:space="preserve">Verplichtstelling zonder uitzonderingsafhandeling leidt voorspelbaar tot dummywaarden. De modelleur veroorzaakt hier een datakwaliteitsprobleem dat pas jaren later zichtbaar wordt.</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Welke vraag wordt bij een modelreview het vaakst vergeten?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Kan ik in dit model zien hoe het vorig jaar was?</w:t>
      </w:r>
    </w:p>
    <w:p>
      <w:pPr>
        <w:spacing w:after="40" w:line="275"/>
        <w:ind w:left="420"/>
      </w:pPr>
      <w:r>
        <w:rPr>
          <w:rFonts w:ascii="Calibri" w:cs="Calibri" w:eastAsia="Calibri" w:hAnsi="Calibri"/>
          <w:color w:val="5F7375"/>
          <w:sz w:val="19"/>
          <w:szCs w:val="19"/>
        </w:rPr>
        <w:t xml:space="preserve">Modellen leggen doorgaans de huidige situatie vast, terwijl een pensioenuitvoerder voortdurend moet kunnen reconstrueren wat er drie jaar geleden gold. Historisatie komt in deel 12 uitgebreid terug.</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hoort er níét in een logisch datamodel?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Indexen en partities van het gekozen platform</w:t>
      </w:r>
    </w:p>
    <w:p>
      <w:pPr>
        <w:spacing w:after="40" w:line="275"/>
        <w:ind w:left="420"/>
      </w:pPr>
      <w:r>
        <w:rPr>
          <w:rFonts w:ascii="Calibri" w:cs="Calibri" w:eastAsia="Calibri" w:hAnsi="Calibri"/>
          <w:color w:val="5F7375"/>
          <w:sz w:val="19"/>
          <w:szCs w:val="19"/>
        </w:rPr>
        <w:t xml:space="preserve">Indexen en partities zijn optimalisaties voor een specifieke technologie en horen in het fysieke model. Het logische model moet platformonafhankelijk blijven.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Waarom is het conceptuele model relevant voor de discussie over "actieve deelnemer" bij Meridiaan?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het de enige plek is waar de definitie gezaghebbend en in bedrijfstaal wordt vastgelegd.</w:t>
      </w:r>
    </w:p>
    <w:p>
      <w:pPr>
        <w:spacing w:after="40" w:line="275"/>
        <w:ind w:left="420"/>
      </w:pPr>
      <w:r>
        <w:rPr>
          <w:rFonts w:ascii="Calibri" w:cs="Calibri" w:eastAsia="Calibri" w:hAnsi="Calibri"/>
          <w:color w:val="5F7375"/>
          <w:sz w:val="19"/>
          <w:szCs w:val="19"/>
        </w:rPr>
        <w:t xml:space="preserve">Zonder CDM bestaat er geen plek waar de definitie gezaghebbend staat. Vier concurrerende waarheden is dan geen ongeluk maar het te verwachten resultaat.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datamodel een businessdocument of een IT-document? En wie zou het moeten onderhouden?</w:t>
      </w:r>
    </w:p>
    <w:p>
      <w:pPr>
        <w:pStyle w:val="ListParagraph"/>
        <w:numPr>
          <w:ilvl w:val="0"/>
          <w:numId w:val="3"/>
        </w:numPr>
        <w:spacing w:after="70" w:line="280"/>
      </w:pPr>
      <w:r>
        <w:rPr>
          <w:rFonts w:ascii="Calibri" w:cs="Calibri" w:eastAsia="Calibri" w:hAnsi="Calibri"/>
          <w:color w:val="0E1A1C"/>
          <w:sz w:val="21"/>
          <w:szCs w:val="21"/>
        </w:rPr>
        <w:t xml:space="preserve">Kan een organisatie zonder conceptueel model toch één waarheid hebben over haar kernbegrippen?</w:t>
      </w:r>
    </w:p>
    <w:p>
      <w:pPr>
        <w:pStyle w:val="ListParagraph"/>
        <w:numPr>
          <w:ilvl w:val="0"/>
          <w:numId w:val="3"/>
        </w:numPr>
        <w:spacing w:after="70" w:line="280"/>
      </w:pPr>
      <w:r>
        <w:rPr>
          <w:rFonts w:ascii="Calibri" w:cs="Calibri" w:eastAsia="Calibri" w:hAnsi="Calibri"/>
          <w:color w:val="0E1A1C"/>
          <w:sz w:val="21"/>
          <w:szCs w:val="21"/>
        </w:rPr>
        <w:t xml:space="preserve">Normaliseren voorkomt tegenstrijdigheid maar maakt bevragen ingewikkelder. Waar ligt de grens?</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haar modellen vanuit de schermen zijn getekend?</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5 doorgaan naar Boyce-Codd en het verschil met 3NF benoemen.</w:t>
      </w:r>
    </w:p>
    <w:p>
      <w:pPr>
        <w:pStyle w:val="ListParagraph"/>
        <w:numPr>
          <w:ilvl w:val="0"/>
          <w:numId w:val="2"/>
        </w:numPr>
        <w:spacing w:after="70" w:line="280"/>
      </w:pPr>
      <w:r>
        <w:rPr>
          <w:rFonts w:ascii="Calibri" w:cs="Calibri" w:eastAsia="Calibri" w:hAnsi="Calibri"/>
          <w:color w:val="0E1A1C"/>
          <w:sz w:val="21"/>
          <w:szCs w:val="21"/>
        </w:rPr>
        <w:t xml:space="preserve">Vraag om het CDM van opdracht 6 om te zetten naar een logisch model met sleutels en kardinaliteit.</w:t>
      </w:r>
    </w:p>
    <w:p>
      <w:pPr>
        <w:pStyle w:val="ListParagraph"/>
        <w:numPr>
          <w:ilvl w:val="0"/>
          <w:numId w:val="2"/>
        </w:numPr>
        <w:spacing w:after="70" w:line="280"/>
      </w:pPr>
      <w:r>
        <w:rPr>
          <w:rFonts w:ascii="Calibri" w:cs="Calibri" w:eastAsia="Calibri" w:hAnsi="Calibri"/>
          <w:color w:val="0E1A1C"/>
          <w:sz w:val="21"/>
          <w:szCs w:val="21"/>
        </w:rPr>
        <w:t xml:space="preserve">Laat het foutmodel van opdracht 7 zelf herschrijven tot een correcte versie.</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Geef bij opdracht 2 de vier hoofdentiteiten voor; het toewijzen van attributen is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5 tot de stap van 1NF naar 2NF en doe 3NF plenair op het bord.</w:t>
      </w:r>
    </w:p>
    <w:p>
      <w:pPr>
        <w:pStyle w:val="ListParagraph"/>
        <w:numPr>
          <w:ilvl w:val="0"/>
          <w:numId w:val="2"/>
        </w:numPr>
        <w:spacing w:after="70" w:line="280"/>
      </w:pPr>
      <w:r>
        <w:rPr>
          <w:rFonts w:ascii="Calibri" w:cs="Calibri" w:eastAsia="Calibri" w:hAnsi="Calibri"/>
          <w:color w:val="0E1A1C"/>
          <w:sz w:val="21"/>
          <w:szCs w:val="21"/>
        </w:rPr>
        <w:t xml:space="preserve">Laat opdracht 6 in viertallen maken in plaats van in tweetallen.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SQL kunnen voor dit deel?"</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Dit deel gaat over betekenis, niet over bevragen. SQL komt in deel 5.</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notatie moet ik gebruiken?"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 niveau 1 maakt het niet uit, mits je consequent bent en de legenda erbij zet. Deel 12 behandelt de notaties naast elkaar.</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met de hand tekenen?"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tool verplaatst de aandacht naar notatie. Met potlood durf je te wijzigen, en dat is bij modelleren precies wat nodig is.</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diep gaat het examen op normaalvormen in?"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Tot en met 3NF, en vooral op het herkennen van het probleem dat elke vorm oplost — niet op het reciteren van de regel.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 — Databasics en modelleren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Databasics en modelleren — Docentenhandleiding</dc:title>
  <dc:creator>Ductus B.V.</dc:creator>
  <dc:description>Cursusmateriaal datamanagement, data-analyse en data governance</dc:description>
  <cp:lastModifiedBy>Un-named</cp:lastModifiedBy>
  <cp:revision>1</cp:revision>
  <dcterms:created xsi:type="dcterms:W3CDTF">2026-08-05T10:35:00.849Z</dcterms:created>
  <dcterms:modified xsi:type="dcterms:W3CDTF">2026-08-05T10:35:00.849Z</dcterms:modified>
</cp:coreProperties>
</file>

<file path=docProps/custom.xml><?xml version="1.0" encoding="utf-8"?>
<Properties xmlns="http://schemas.openxmlformats.org/officeDocument/2006/custom-properties" xmlns:vt="http://schemas.openxmlformats.org/officeDocument/2006/docPropsVTypes"/>
</file>