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1 · FUNDAMENT · DEEL 2</w:t>
      </w:r>
    </w:p>
    <w:p>
      <w:pPr>
        <w:spacing w:after="120"/>
      </w:pPr>
      <w:r>
        <w:rPr>
          <w:rFonts w:ascii="Cambria" w:cs="Cambria" w:eastAsia="Cambria" w:hAnsi="Cambria"/>
          <w:b/>
          <w:bCs/>
          <w:color w:val="0E1A1C"/>
          <w:sz w:val="56"/>
          <w:szCs w:val="56"/>
        </w:rPr>
        <w:t xml:space="preserve">Databasics en modelleren</w:t>
      </w:r>
    </w:p>
    <w:p>
      <w:pPr>
        <w:spacing w:after="300"/>
      </w:pPr>
      <w:r>
        <w:rPr>
          <w:rFonts w:ascii="Calibri" w:cs="Calibri" w:eastAsia="Calibri" w:hAnsi="Calibri"/>
          <w:color w:val="5F7375"/>
          <w:sz w:val="26"/>
          <w:szCs w:val="26"/>
        </w:rPr>
        <w:t xml:space="preserve">Deelnemersreader</w:t>
      </w:r>
    </w:p>
    <w:p>
      <w:pPr>
        <w:spacing w:after="40"/>
      </w:pPr>
      <w:r>
        <w:rPr>
          <w:rFonts w:ascii="Consolas" w:cs="Consolas" w:eastAsia="Consolas" w:hAnsi="Consolas"/>
          <w:color w:val="5F7375"/>
          <w:sz w:val="17"/>
          <w:szCs w:val="17"/>
        </w:rPr>
        <w:t xml:space="preserve">STUDIELAST  </w:t>
      </w:r>
      <w:r>
        <w:rPr>
          <w:rFonts w:ascii="Calibri" w:cs="Calibri" w:eastAsia="Calibri" w:hAnsi="Calibri"/>
          <w:b/>
          <w:bCs/>
          <w:color w:val="0E1A1C"/>
          <w:sz w:val="20"/>
          <w:szCs w:val="20"/>
        </w:rPr>
        <w:t xml:space="preserve">± 5 uur (3 uur klassikaal, 2 uur zelfstandig)</w:t>
      </w:r>
    </w:p>
    <w:p>
      <w:pPr>
        <w:spacing w:after="40"/>
      </w:pPr>
      <w:r>
        <w:rPr>
          <w:rFonts w:ascii="Consolas" w:cs="Consolas" w:eastAsia="Consolas" w:hAnsi="Consolas"/>
          <w:color w:val="5F7375"/>
          <w:sz w:val="17"/>
          <w:szCs w:val="17"/>
        </w:rPr>
        <w:t xml:space="preserve">EXAMENLIJN  </w:t>
      </w:r>
      <w:r>
        <w:rPr>
          <w:rFonts w:ascii="Calibri" w:cs="Calibri" w:eastAsia="Calibri" w:hAnsi="Calibri"/>
          <w:b/>
          <w:bCs/>
          <w:color w:val="0E1A1C"/>
          <w:sz w:val="20"/>
          <w:szCs w:val="20"/>
        </w:rPr>
        <w:t xml:space="preserve">CDMP · Data Modeling &amp; Design</w:t>
      </w:r>
    </w:p>
    <w:p>
      <w:pPr>
        <w:spacing w:after="40"/>
      </w:pPr>
      <w:r>
        <w:rPr>
          <w:rFonts w:ascii="Consolas" w:cs="Consolas" w:eastAsia="Consolas" w:hAnsi="Consolas"/>
          <w:color w:val="5F7375"/>
          <w:sz w:val="17"/>
          <w:szCs w:val="17"/>
        </w:rPr>
        <w:t xml:space="preserve">CASUS  </w:t>
      </w:r>
      <w:r>
        <w:rPr>
          <w:rFonts w:ascii="Calibri" w:cs="Calibri" w:eastAsia="Calibri" w:hAnsi="Calibri"/>
          <w:b/>
          <w:bCs/>
          <w:color w:val="0E1A1C"/>
          <w:sz w:val="20"/>
          <w:szCs w:val="20"/>
        </w:rPr>
        <w:t xml:space="preserve">Meridiaan Pensioen N.V.</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4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Waar dit deel over gaat</w:t>
      </w:r>
    </w:p>
    <w:p>
      <w:pPr>
        <w:spacing w:after="140" w:line="288"/>
      </w:pPr>
      <w:r>
        <w:rPr>
          <w:rFonts w:ascii="Calibri" w:cs="Calibri" w:eastAsia="Calibri" w:hAnsi="Calibri"/>
          <w:color w:val="0E1A1C"/>
          <w:sz w:val="21"/>
          <w:szCs w:val="21"/>
        </w:rPr>
        <w:t xml:space="preserve">Een datamodel is geen technisch document. Het is de vastlegging van wat een organisatie bedoelt. Wanneer twee afdelingen het oneens zijn over de vraag wie een deelnemer is, is dat geen databasekwestie maar een betekeniskwestie — en het model is de plek waar die betekenis wordt beslecht en bewaard.</w:t>
      </w:r>
    </w:p>
    <w:p>
      <w:pPr>
        <w:spacing w:after="140" w:line="288"/>
      </w:pPr>
      <w:r>
        <w:rPr>
          <w:rFonts w:ascii="Calibri" w:cs="Calibri" w:eastAsia="Calibri" w:hAnsi="Calibri"/>
          <w:color w:val="0E1A1C"/>
          <w:sz w:val="21"/>
          <w:szCs w:val="21"/>
        </w:rPr>
        <w:t xml:space="preserve">Dit deel leert je modellen lézen, niet bouwen. Dat is een bewuste keuze. In je werk kom je vaker een bestaand model tegen dan een leeg vel, en het vermogen om de juiste acht vragen te stellen bij een model dat iemand anders maakte, is waardevoller dan het vermogen om zelf een middelmatig model te tekenen. Bouwen komt in deel 12.</w:t>
      </w:r>
    </w:p>
    <w:p>
      <w:pPr>
        <w:pStyle w:val="Heading3"/>
        <w:spacing w:after="100" w:before="240"/>
      </w:pPr>
      <w:r>
        <w:rPr>
          <w:rFonts w:ascii="Calibri" w:cs="Calibri" w:eastAsia="Calibri" w:hAnsi="Calibri"/>
          <w:b/>
          <w:bCs/>
          <w:color w:val="3F7D74"/>
          <w:sz w:val="22"/>
          <w:szCs w:val="22"/>
        </w:rPr>
        <w:t xml:space="preserve">Leerdoelen</w:t>
      </w:r>
    </w:p>
    <w:p>
      <w:pPr>
        <w:pStyle w:val="ListParagraph"/>
        <w:numPr>
          <w:ilvl w:val="0"/>
          <w:numId w:val="2"/>
        </w:numPr>
        <w:spacing w:after="70" w:line="280"/>
      </w:pPr>
      <w:r>
        <w:rPr>
          <w:rFonts w:ascii="Calibri" w:cs="Calibri" w:eastAsia="Calibri" w:hAnsi="Calibri"/>
          <w:color w:val="0E1A1C"/>
          <w:sz w:val="21"/>
          <w:szCs w:val="21"/>
        </w:rPr>
        <w:t xml:space="preserve">Je onderscheidt gestructureerde, semi-gestructureerde en ongestructureerde data en benoemt de gevolgen voor beheer.</w:t>
      </w:r>
    </w:p>
    <w:p>
      <w:pPr>
        <w:pStyle w:val="ListParagraph"/>
        <w:numPr>
          <w:ilvl w:val="0"/>
          <w:numId w:val="2"/>
        </w:numPr>
        <w:spacing w:after="70" w:line="280"/>
      </w:pPr>
      <w:r>
        <w:rPr>
          <w:rFonts w:ascii="Calibri" w:cs="Calibri" w:eastAsia="Calibri" w:hAnsi="Calibri"/>
          <w:color w:val="0E1A1C"/>
          <w:sz w:val="21"/>
          <w:szCs w:val="21"/>
        </w:rPr>
        <w:t xml:space="preserve">Je benoemt entiteiten, attributen, relaties en instanties in een casusbeschrijving.</w:t>
      </w:r>
    </w:p>
    <w:p>
      <w:pPr>
        <w:pStyle w:val="ListParagraph"/>
        <w:numPr>
          <w:ilvl w:val="0"/>
          <w:numId w:val="2"/>
        </w:numPr>
        <w:spacing w:after="70" w:line="280"/>
      </w:pPr>
      <w:r>
        <w:rPr>
          <w:rFonts w:ascii="Calibri" w:cs="Calibri" w:eastAsia="Calibri" w:hAnsi="Calibri"/>
          <w:color w:val="0E1A1C"/>
          <w:sz w:val="21"/>
          <w:szCs w:val="21"/>
        </w:rPr>
        <w:t xml:space="preserve">Je kiest tussen een natuurlijke en een surrogaatsleutel en verantwoordt die keuze.</w:t>
      </w:r>
    </w:p>
    <w:p>
      <w:pPr>
        <w:pStyle w:val="ListParagraph"/>
        <w:numPr>
          <w:ilvl w:val="0"/>
          <w:numId w:val="2"/>
        </w:numPr>
        <w:spacing w:after="70" w:line="280"/>
      </w:pPr>
      <w:r>
        <w:rPr>
          <w:rFonts w:ascii="Calibri" w:cs="Calibri" w:eastAsia="Calibri" w:hAnsi="Calibri"/>
          <w:color w:val="0E1A1C"/>
          <w:sz w:val="21"/>
          <w:szCs w:val="21"/>
        </w:rPr>
        <w:t xml:space="preserve">Je leest kardinaliteit en optionaliteit uit een diagram en zet een veel-op-veel-relatie om naar een koppelentiteit.</w:t>
      </w:r>
    </w:p>
    <w:p>
      <w:pPr>
        <w:pStyle w:val="ListParagraph"/>
        <w:numPr>
          <w:ilvl w:val="0"/>
          <w:numId w:val="2"/>
        </w:numPr>
        <w:spacing w:after="70" w:line="280"/>
      </w:pPr>
      <w:r>
        <w:rPr>
          <w:rFonts w:ascii="Calibri" w:cs="Calibri" w:eastAsia="Calibri" w:hAnsi="Calibri"/>
          <w:color w:val="0E1A1C"/>
          <w:sz w:val="21"/>
          <w:szCs w:val="21"/>
        </w:rPr>
        <w:t xml:space="preserve">Je normaliseert een tabel tot de derde normaalvorm en legt uit welk probleem elke stap oplost.</w:t>
      </w:r>
    </w:p>
    <w:p>
      <w:pPr>
        <w:pStyle w:val="ListParagraph"/>
        <w:numPr>
          <w:ilvl w:val="0"/>
          <w:numId w:val="2"/>
        </w:numPr>
        <w:spacing w:after="70" w:line="280"/>
      </w:pPr>
      <w:r>
        <w:rPr>
          <w:rFonts w:ascii="Calibri" w:cs="Calibri" w:eastAsia="Calibri" w:hAnsi="Calibri"/>
          <w:color w:val="0E1A1C"/>
          <w:sz w:val="21"/>
          <w:szCs w:val="21"/>
        </w:rPr>
        <w:t xml:space="preserve">Je onderscheidt conceptueel, logisch en fysiek model en benoemt per model het publiek.</w:t>
      </w:r>
    </w:p>
    <w:p>
      <w:pPr>
        <w:pStyle w:val="ListParagraph"/>
        <w:numPr>
          <w:ilvl w:val="0"/>
          <w:numId w:val="2"/>
        </w:numPr>
        <w:spacing w:after="70" w:line="280"/>
      </w:pPr>
      <w:r>
        <w:rPr>
          <w:rFonts w:ascii="Calibri" w:cs="Calibri" w:eastAsia="Calibri" w:hAnsi="Calibri"/>
          <w:color w:val="0E1A1C"/>
          <w:sz w:val="21"/>
          <w:szCs w:val="21"/>
        </w:rPr>
        <w:t xml:space="preserve">Je onderscheidt master-, referentie-, transactie- en metadata in een concreet landschap.</w:t>
      </w:r>
    </w:p>
    <w:p>
      <w:r>
        <w:br w:type="page"/>
      </w:r>
    </w:p>
    <w:p>
      <w:pPr>
        <w:pStyle w:val="Heading1"/>
        <w:spacing w:after="200" w:before="420"/>
      </w:pPr>
      <w:r>
        <w:rPr>
          <w:rFonts w:ascii="Cambria" w:cs="Cambria" w:eastAsia="Cambria" w:hAnsi="Cambria"/>
          <w:b/>
          <w:bCs/>
          <w:color w:val="1B4A48"/>
          <w:sz w:val="34"/>
          <w:szCs w:val="34"/>
        </w:rPr>
        <w:t xml:space="preserve">2. Drie soorten data</w:t>
      </w:r>
    </w:p>
    <w:p>
      <w:pPr>
        <w:spacing w:after="140" w:line="288"/>
      </w:pPr>
      <w:r>
        <w:rPr>
          <w:rFonts w:ascii="Calibri" w:cs="Calibri" w:eastAsia="Calibri" w:hAnsi="Calibri"/>
          <w:color w:val="0E1A1C"/>
          <w:sz w:val="21"/>
          <w:szCs w:val="21"/>
        </w:rPr>
        <w:t xml:space="preserve">De indeling lijkt academisch maar bepaalt in de praktijk wie er iets mee kan en wat het kost om er iets mee te doen.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900"/>
        <w:gridCol w:w="2200"/>
        <w:gridCol w:w="2500"/>
        <w:gridCol w:w="2420"/>
      </w:tblGrid>
      <w:tr>
        <w:trPr>
          <w:tblHeader/>
        </w:trPr>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Soort</w:t>
            </w:r>
          </w:p>
        </w:tc>
        <w:tc>
          <w:tcPr>
            <w:tcW w:type="dxa" w:w="2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Kenmerk</w:t>
            </w:r>
          </w:p>
        </w:tc>
        <w:tc>
          <w:tcPr>
            <w:tcW w:type="dxa" w:w="2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Voorbeeld bij Meridiaan</w:t>
            </w:r>
          </w:p>
        </w:tc>
        <w:tc>
          <w:tcPr>
            <w:tcW w:type="dxa" w:w="2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Gevolg voor beheer</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Gestructureerd</w:t>
            </w:r>
          </w:p>
        </w:tc>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Vaste velden met een vast type, vooraf gedefinieerd</w:t>
            </w:r>
          </w:p>
        </w:tc>
        <w:tc>
          <w:tcPr>
            <w:tcW w:type="dxa" w:w="2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Polisadministratie, deelnemersgegevens, premiebetalingen</w:t>
            </w:r>
          </w:p>
        </w:tc>
        <w:tc>
          <w:tcPr>
            <w:tcW w:type="dxa" w:w="2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Goed te valideren en te bevragen; wijziging van de structuur is duur</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Semi-gestructureerd</w:t>
            </w:r>
          </w:p>
        </w:tc>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Wel structuur, maar niet vooraf vastgelegd</w:t>
            </w:r>
          </w:p>
        </w:tc>
        <w:tc>
          <w:tcPr>
            <w:tcW w:type="dxa" w:w="2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JSON-berichten van het pensioenportaal, logbestanden</w:t>
            </w:r>
          </w:p>
        </w:tc>
        <w:tc>
          <w:tcPr>
            <w:tcW w:type="dxa" w:w="2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Flexibel, maar de betekenis moet elders worden vastgelegd</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Ongestructureerd</w:t>
            </w:r>
          </w:p>
        </w:tc>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Geen veldstructuur</w:t>
            </w:r>
          </w:p>
        </w:tc>
        <w:tc>
          <w:tcPr>
            <w:tcW w:type="dxa" w:w="2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Correspondentie, telefoonnotities, gescande formulieren</w:t>
            </w:r>
          </w:p>
        </w:tc>
        <w:tc>
          <w:tcPr>
            <w:tcW w:type="dxa" w:w="2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Moeilijk doorzoekbaar; valt vaak buiten het zicht van governance</w:t>
            </w:r>
          </w:p>
        </w:tc>
      </w:tr>
    </w:tbl>
    <w:p>
      <w:pPr>
        <w:spacing w:after="160"/>
      </w:pPr>
      <w:r>
        <w:t xml:space="preserve"/>
      </w:r>
    </w:p>
    <w:p>
      <w:pPr>
        <w:spacing w:after="140" w:line="288"/>
      </w:pPr>
      <w:r>
        <w:rPr>
          <w:rFonts w:ascii="Calibri" w:cs="Calibri" w:eastAsia="Calibri" w:hAnsi="Calibri"/>
          <w:color w:val="0E1A1C"/>
          <w:sz w:val="21"/>
          <w:szCs w:val="21"/>
        </w:rPr>
        <w:t xml:space="preserve">Naar schatting het grootste deel van wat een organisatie bewaart is ongestructureerd, en juist daar is het beheer het zwakst. Bij Meridiaan staat de deelnemer keurig in de administratie, terwijl zijn scheidingsstukken als PDF in een gedeelde map liggen waar niemand een bewaartermijn op heeft gezet. Wie een AVG-vraag krijgt, komt daar als eerste in de problemen.</w:t>
      </w:r>
    </w:p>
    <w:p>
      <w:pPr>
        <w:pStyle w:val="Heading1"/>
        <w:spacing w:after="200" w:before="420"/>
      </w:pPr>
      <w:r>
        <w:rPr>
          <w:rFonts w:ascii="Cambria" w:cs="Cambria" w:eastAsia="Cambria" w:hAnsi="Cambria"/>
          <w:b/>
          <w:bCs/>
          <w:color w:val="1B4A48"/>
          <w:sz w:val="34"/>
          <w:szCs w:val="34"/>
        </w:rPr>
        <w:t xml:space="preserve">3. Het bouwmateriaal</w:t>
      </w:r>
    </w:p>
    <w:p>
      <w:pPr>
        <w:spacing w:after="140" w:line="288"/>
      </w:pPr>
      <w:r>
        <w:rPr>
          <w:rFonts w:ascii="Calibri" w:cs="Calibri" w:eastAsia="Calibri" w:hAnsi="Calibri"/>
          <w:color w:val="0E1A1C"/>
          <w:sz w:val="21"/>
          <w:szCs w:val="21"/>
        </w:rPr>
        <w:t xml:space="preserve">Elk datamodel bestaat uit vier begrippen. Ze klinken eenvoudig en worden in gesprekken voortdurend door elkaar gebruikt.</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700"/>
        <w:gridCol w:w="3400"/>
        <w:gridCol w:w="3920"/>
      </w:tblGrid>
      <w:tr>
        <w:trPr>
          <w:tblHeader/>
        </w:trPr>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Begrip</w:t>
            </w:r>
          </w:p>
        </w:tc>
        <w:tc>
          <w:tcPr>
            <w:tcW w:type="dxa" w:w="3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Betekenis</w:t>
            </w:r>
          </w:p>
        </w:tc>
        <w:tc>
          <w:tcPr>
            <w:tcW w:type="dxa" w:w="39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Voorbeeld</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Entiteit</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soort ding waarover we gegevens vastleggen</w:t>
            </w:r>
          </w:p>
        </w:tc>
        <w:tc>
          <w:tcPr>
            <w:tcW w:type="dxa" w:w="39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Deelnemer, Werkgever, Polis, Betaling</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Attribuut</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eigenschap van die entiteit</w:t>
            </w:r>
          </w:p>
        </w:tc>
        <w:tc>
          <w:tcPr>
            <w:tcW w:type="dxa" w:w="39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Geboortedatum, e-mailadres, ingangsdatum</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Instantie</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Eén concreet exemplaar van de entiteit</w:t>
            </w:r>
          </w:p>
        </w:tc>
        <w:tc>
          <w:tcPr>
            <w:tcW w:type="dxa" w:w="39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Deelnemer met nummer 4472913</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Relatie</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betekenisvol verband tussen entiteiten</w:t>
            </w:r>
          </w:p>
        </w:tc>
        <w:tc>
          <w:tcPr>
            <w:tcW w:type="dxa" w:w="39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Deelnemer werkt bij een Werkgever</w:t>
            </w:r>
          </w:p>
        </w:tc>
      </w:tr>
    </w:tbl>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vuistregel voor entiteiten</w:t>
            </w:r>
          </w:p>
          <w:p>
            <w:pPr>
              <w:spacing w:after="60" w:line="280"/>
            </w:pPr>
            <w:r>
              <w:rPr>
                <w:rFonts w:ascii="Calibri" w:cs="Calibri" w:eastAsia="Calibri" w:hAnsi="Calibri"/>
                <w:color w:val="0E1A1C"/>
                <w:sz w:val="20"/>
                <w:szCs w:val="20"/>
              </w:rPr>
              <w:t xml:space="preserve">Een entiteit is meestal een zelfstandig naamwoord waarover je meer dan één ding wilt weten en waarvan er meer dan één bestaat. Kun je maar één eigenschap bedenken, dan is het waarschijnlijk een attribuut. Bestaat er maar één van, dan is het waarschijnlijk geen entiteit maar een aanname.</w:t>
            </w:r>
          </w:p>
        </w:tc>
      </w:tr>
    </w:tbl>
    <w:p>
      <w:pPr>
        <w:pStyle w:val="Heading1"/>
        <w:spacing w:after="200" w:before="420"/>
      </w:pPr>
      <w:r>
        <w:rPr>
          <w:rFonts w:ascii="Cambria" w:cs="Cambria" w:eastAsia="Cambria" w:hAnsi="Cambria"/>
          <w:b/>
          <w:bCs/>
          <w:color w:val="1B4A48"/>
          <w:sz w:val="34"/>
          <w:szCs w:val="34"/>
        </w:rPr>
        <w:t xml:space="preserve">4. Sleutels</w:t>
      </w:r>
    </w:p>
    <w:p>
      <w:pPr>
        <w:spacing w:after="140" w:line="288"/>
      </w:pPr>
      <w:r>
        <w:rPr>
          <w:rFonts w:ascii="Calibri" w:cs="Calibri" w:eastAsia="Calibri" w:hAnsi="Calibri"/>
          <w:color w:val="0E1A1C"/>
          <w:sz w:val="21"/>
          <w:szCs w:val="21"/>
        </w:rPr>
        <w:t xml:space="preserve">Een sleutel identificeert een instantie uniek. Zonder sleutel weet je niet of twee regels over dezelfde deelnemer gaan — en dat is precies het probleem waar master data management in deel 14 over gaat.</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100"/>
        <w:gridCol w:w="2600"/>
        <w:gridCol w:w="2200"/>
        <w:gridCol w:w="2120"/>
      </w:tblGrid>
      <w:tr>
        <w:trPr>
          <w:tblHeader/>
        </w:trPr>
        <w:tc>
          <w:tcPr>
            <w:tcW w:type="dxa" w:w="21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Type sleutel</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het is</w:t>
            </w:r>
          </w:p>
        </w:tc>
        <w:tc>
          <w:tcPr>
            <w:tcW w:type="dxa" w:w="2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Voorbeeld</w:t>
            </w:r>
          </w:p>
        </w:tc>
        <w:tc>
          <w:tcPr>
            <w:tcW w:type="dxa" w:w="21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Let op</w:t>
            </w:r>
          </w:p>
        </w:tc>
      </w:tr>
      <w:tr>
        <w:tc>
          <w:tcPr>
            <w:tcW w:type="dxa" w:w="21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Natuurlijke sleutel</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bestaand gegeven dat uniek is</w:t>
            </w:r>
          </w:p>
        </w:tc>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Burgerservicenummer, polisnummer</w:t>
            </w:r>
          </w:p>
        </w:tc>
        <w:tc>
          <w:tcPr>
            <w:tcW w:type="dxa" w:w="21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Verandert soms toch, en is vaak een persoonsgegeven</w:t>
            </w:r>
          </w:p>
        </w:tc>
      </w:tr>
      <w:tr>
        <w:tc>
          <w:tcPr>
            <w:tcW w:type="dxa" w:w="21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Surrogaatsleutel</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betekenisloos nummer, door het systeem gegenereerd</w:t>
            </w:r>
          </w:p>
        </w:tc>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DeelnemerID 4472913</w:t>
            </w:r>
          </w:p>
        </w:tc>
        <w:tc>
          <w:tcPr>
            <w:tcW w:type="dxa" w:w="21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Stabiel, maar zonder betekenis buiten het systeem</w:t>
            </w:r>
          </w:p>
        </w:tc>
      </w:tr>
      <w:tr>
        <w:tc>
          <w:tcPr>
            <w:tcW w:type="dxa" w:w="21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Samengestelde sleutel</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Meerdere attributen samen uniek</w:t>
            </w:r>
          </w:p>
        </w:tc>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Polisnummer plus regelnummer</w:t>
            </w:r>
          </w:p>
        </w:tc>
        <w:tc>
          <w:tcPr>
            <w:tcW w:type="dxa" w:w="21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Wordt onhandig zodra de relatie complexer wordt</w:t>
            </w:r>
          </w:p>
        </w:tc>
      </w:tr>
      <w:tr>
        <w:tc>
          <w:tcPr>
            <w:tcW w:type="dxa" w:w="21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Vreemde sleutel</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Verwijzing naar de sleutel van een andere entiteit</w:t>
            </w:r>
          </w:p>
        </w:tc>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WerkgeverID in de entiteit Polis</w:t>
            </w:r>
          </w:p>
        </w:tc>
        <w:tc>
          <w:tcPr>
            <w:tcW w:type="dxa" w:w="21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verwijzing moet altijd geldig blijven</w:t>
            </w:r>
          </w:p>
        </w:tc>
      </w:tr>
    </w:tbl>
    <w:p>
      <w:pPr>
        <w:spacing w:after="140"/>
      </w:pPr>
      <w:r>
        <w:t xml:space="preserve"/>
      </w:r>
    </w:p>
    <w:p>
      <w:pPr>
        <w:spacing w:after="140" w:line="288"/>
      </w:pPr>
      <w:r>
        <w:rPr>
          <w:rFonts w:ascii="Calibri" w:cs="Calibri" w:eastAsia="Calibri" w:hAnsi="Calibri"/>
          <w:color w:val="0E1A1C"/>
          <w:sz w:val="21"/>
          <w:szCs w:val="21"/>
        </w:rPr>
        <w:t xml:space="preserve">De klassieke afweging: een natuurlijke sleutel is herkenbaar maar riskant, omdat de werkelijkheid verandert. Een burgerservicenummer is uniek totdat je met buitenlandse deelnemers werkt. Een e-mailadres lijkt uniek totdat twee partners hetzelfde adres opgeven. De praktijkregel luidt: gebruik een surrogaatsleutel als identificatie in het systeem en bewaar de natuurlijke sleutel als attribuut, met een eigen uniciteitsregel.</w:t>
      </w:r>
    </w:p>
    <w:p>
      <w:r>
        <w:br w:type="page"/>
      </w:r>
    </w:p>
    <w:p>
      <w:pPr>
        <w:pStyle w:val="Heading1"/>
        <w:spacing w:after="200" w:before="420"/>
      </w:pPr>
      <w:r>
        <w:rPr>
          <w:rFonts w:ascii="Cambria" w:cs="Cambria" w:eastAsia="Cambria" w:hAnsi="Cambria"/>
          <w:b/>
          <w:bCs/>
          <w:color w:val="1B4A48"/>
          <w:sz w:val="34"/>
          <w:szCs w:val="34"/>
        </w:rPr>
        <w:t xml:space="preserve">5. Relaties lezen</w:t>
      </w:r>
    </w:p>
    <w:p>
      <w:pPr>
        <w:spacing w:after="140" w:line="288"/>
      </w:pPr>
      <w:r>
        <w:rPr>
          <w:rFonts w:ascii="Calibri" w:cs="Calibri" w:eastAsia="Calibri" w:hAnsi="Calibri"/>
          <w:color w:val="0E1A1C"/>
          <w:sz w:val="21"/>
          <w:szCs w:val="21"/>
        </w:rPr>
        <w:t xml:space="preserve">Een relatie heeft twee eigenschappen die je apart moet lezen: hoeveel exemplaren aan elke kant mogen voorkomen (kardinaliteit) en of de relatie verplicht is (optionaliteit). In diagrammen worden die vaak met kraaienpootnotatie weergegeven.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800"/>
        <w:gridCol w:w="3400"/>
        <w:gridCol w:w="3820"/>
      </w:tblGrid>
      <w:tr>
        <w:trPr>
          <w:tblHeader/>
        </w:trPr>
        <w:tc>
          <w:tcPr>
            <w:tcW w:type="dxa" w:w="18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Vorm</w:t>
            </w:r>
          </w:p>
        </w:tc>
        <w:tc>
          <w:tcPr>
            <w:tcW w:type="dxa" w:w="3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Betekenis</w:t>
            </w:r>
          </w:p>
        </w:tc>
        <w:tc>
          <w:tcPr>
            <w:tcW w:type="dxa" w:w="38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Voorbeeld bij Meridiaan</w:t>
            </w:r>
          </w:p>
        </w:tc>
      </w:tr>
      <w:tr>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Eén op één</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Elk exemplaar hoort bij hooguit één ander</w:t>
            </w:r>
          </w:p>
        </w:tc>
        <w:tc>
          <w:tcPr>
            <w:tcW w:type="dxa" w:w="3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Deelnemer heeft één pensioenoverzicht per jaar</w:t>
            </w:r>
          </w:p>
        </w:tc>
      </w:tr>
      <w:tr>
        <w:tc>
          <w:tcPr>
            <w:tcW w:type="dxa" w:w="1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Eén op veel</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Eén exemplaar hoort bij meerdere andere</w:t>
            </w:r>
          </w:p>
        </w:tc>
        <w:tc>
          <w:tcPr>
            <w:tcW w:type="dxa" w:w="3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Werkgever heeft veel Deelnemers</w:t>
            </w:r>
          </w:p>
        </w:tc>
      </w:tr>
      <w:tr>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Veel op veel</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Beide kanten kunnen er meerdere hebben</w:t>
            </w:r>
          </w:p>
        </w:tc>
        <w:tc>
          <w:tcPr>
            <w:tcW w:type="dxa" w:w="3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Deelnemer kan meerdere Regelingen hebben, en omgekeerd</w:t>
            </w:r>
          </w:p>
        </w:tc>
      </w:tr>
      <w:tr>
        <w:tc>
          <w:tcPr>
            <w:tcW w:type="dxa" w:w="1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Optioneel</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relatie hoeft niet te bestaan</w:t>
            </w:r>
          </w:p>
        </w:tc>
        <w:tc>
          <w:tcPr>
            <w:tcW w:type="dxa" w:w="3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Deelnemer hoeft geen partner te hebben</w:t>
            </w:r>
          </w:p>
        </w:tc>
      </w:tr>
      <w:tr>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Verplicht</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relatie moet bestaan</w:t>
            </w:r>
          </w:p>
        </w:tc>
        <w:tc>
          <w:tcPr>
            <w:tcW w:type="dxa" w:w="3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Polis hoort altijd bij een Deelnemer</w:t>
            </w:r>
          </w:p>
        </w:tc>
      </w:tr>
    </w:tbl>
    <w:p>
      <w:pPr>
        <w:spacing w:after="140"/>
      </w:pPr>
      <w:r>
        <w:t xml:space="preserve"/>
      </w:r>
    </w:p>
    <w:p>
      <w:pPr>
        <w:pStyle w:val="Heading3"/>
        <w:spacing w:after="100" w:before="240"/>
      </w:pPr>
      <w:r>
        <w:rPr>
          <w:rFonts w:ascii="Calibri" w:cs="Calibri" w:eastAsia="Calibri" w:hAnsi="Calibri"/>
          <w:b/>
          <w:bCs/>
          <w:color w:val="3F7D74"/>
          <w:sz w:val="22"/>
          <w:szCs w:val="22"/>
        </w:rPr>
        <w:t xml:space="preserve">Veel-op-veel bestaat niet in een database</w:t>
      </w:r>
    </w:p>
    <w:p>
      <w:pPr>
        <w:spacing w:after="140" w:line="288"/>
      </w:pPr>
      <w:r>
        <w:rPr>
          <w:rFonts w:ascii="Calibri" w:cs="Calibri" w:eastAsia="Calibri" w:hAnsi="Calibri"/>
          <w:color w:val="0E1A1C"/>
          <w:sz w:val="21"/>
          <w:szCs w:val="21"/>
        </w:rPr>
        <w:t xml:space="preserve">Een veel-op-veel-relatie is conceptueel prima maar fysiek onbouwbaar. Hij wordt opgelost met een koppelentiteit die de twee vreemde sleutels bevat — en vrijwel altijd blijkt die koppelentiteit zelf betekenis te hebben. Tussen Deelnemer en Regeling zit Deelname, met een ingangsdatum, een einddatum en een opbouwpercentage. Die ontdekking is het punt van de oefening: een koppelentiteit is geen technisch trucje maar meestal een vergeten begrip.</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vraag die je bij elke koppelentiteit stelt</w:t>
            </w:r>
          </w:p>
          <w:p>
            <w:pPr>
              <w:spacing w:after="60" w:line="280"/>
            </w:pPr>
            <w:r>
              <w:rPr>
                <w:rFonts w:ascii="Calibri" w:cs="Calibri" w:eastAsia="Calibri" w:hAnsi="Calibri"/>
                <w:color w:val="0E1A1C"/>
                <w:sz w:val="20"/>
                <w:szCs w:val="20"/>
              </w:rPr>
              <w:t xml:space="preserve">Welke eigenschappen horen bij de relatie zelf, en niet bij een van de twee kanten? Wie die vraag stelt, vindt de datum, het percentage of de status die anders in een verkeerd veld zou eindigen.</w:t>
            </w:r>
          </w:p>
        </w:tc>
      </w:tr>
    </w:tbl>
    <w:p>
      <w:pPr>
        <w:pStyle w:val="Heading1"/>
        <w:spacing w:after="200" w:before="420"/>
      </w:pPr>
      <w:r>
        <w:rPr>
          <w:rFonts w:ascii="Cambria" w:cs="Cambria" w:eastAsia="Cambria" w:hAnsi="Cambria"/>
          <w:b/>
          <w:bCs/>
          <w:color w:val="1B4A48"/>
          <w:sz w:val="34"/>
          <w:szCs w:val="34"/>
        </w:rPr>
        <w:t xml:space="preserve">6. Normaliseren</w:t>
      </w:r>
    </w:p>
    <w:p>
      <w:pPr>
        <w:spacing w:after="140" w:line="288"/>
      </w:pPr>
      <w:r>
        <w:rPr>
          <w:rFonts w:ascii="Calibri" w:cs="Calibri" w:eastAsia="Calibri" w:hAnsi="Calibri"/>
          <w:color w:val="0E1A1C"/>
          <w:sz w:val="21"/>
          <w:szCs w:val="21"/>
        </w:rPr>
        <w:t xml:space="preserve">Normaliseren is het opsplitsen van gegevens zodat elk feit precies één keer wordt vastgelegd. Het doel is niet netheid maar het voorkomen van tegenstrijdigheid: wat op één plek staat, kan niet met zichzelf in tegenspraak zijn.</w:t>
      </w:r>
    </w:p>
    <w:p>
      <w:pPr>
        <w:pStyle w:val="Heading3"/>
        <w:spacing w:after="100" w:before="240"/>
      </w:pPr>
      <w:r>
        <w:rPr>
          <w:rFonts w:ascii="Calibri" w:cs="Calibri" w:eastAsia="Calibri" w:hAnsi="Calibri"/>
          <w:b/>
          <w:bCs/>
          <w:color w:val="3F7D74"/>
          <w:sz w:val="22"/>
          <w:szCs w:val="22"/>
        </w:rPr>
        <w:t xml:space="preserve">Het vertrekpunt</w:t>
      </w:r>
    </w:p>
    <w:p>
      <w:pPr>
        <w:spacing w:after="140" w:line="288"/>
      </w:pPr>
      <w:r>
        <w:rPr>
          <w:rFonts w:ascii="Calibri" w:cs="Calibri" w:eastAsia="Calibri" w:hAnsi="Calibri"/>
          <w:color w:val="0E1A1C"/>
          <w:sz w:val="21"/>
          <w:szCs w:val="21"/>
        </w:rPr>
        <w:t xml:space="preserve">Stel dat Meridiaan het volgende in één tabel bijhoudt: deelnemernummer, deelnemernaam, werkgevernaam, werkgeveradres, en de regelingen waaraan de deelnemer meedoet — die laatste in één veld, met komma’s gescheiden.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900"/>
        <w:gridCol w:w="3200"/>
        <w:gridCol w:w="2400"/>
        <w:gridCol w:w="2520"/>
      </w:tblGrid>
      <w:tr>
        <w:trPr>
          <w:tblHeader/>
        </w:trPr>
        <w:tc>
          <w:tcPr>
            <w:tcW w:type="dxa" w:w="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Vorm</w:t>
            </w:r>
          </w:p>
        </w:tc>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Regel</w:t>
            </w:r>
          </w:p>
        </w:tc>
        <w:tc>
          <w:tcPr>
            <w:tcW w:type="dxa" w:w="2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je oplost</w:t>
            </w:r>
          </w:p>
        </w:tc>
        <w:tc>
          <w:tcPr>
            <w:tcW w:type="dxa" w:w="25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Bij Meridiaan</w:t>
            </w:r>
          </w:p>
        </w:tc>
      </w:tr>
      <w:tr>
        <w:tc>
          <w:tcPr>
            <w:tcW w:type="dxa" w:w="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1NF</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Elk veld bevat één waarde; geen herhalende groepen</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Zoeken en tellen wordt mogelijk</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regelingen uit één veld halen en als aparte regels vastleggen</w:t>
            </w:r>
          </w:p>
        </w:tc>
      </w:tr>
      <w:tr>
        <w:tc>
          <w:tcPr>
            <w:tcW w:type="dxa" w:w="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2NF</w:t>
            </w:r>
          </w:p>
        </w:tc>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1NF, plus: elk niet-sleutelattribuut hangt van de hele sleutel af</w:t>
            </w:r>
          </w:p>
        </w:tc>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Gegevens die maar van een deel van de sleutel afhangen, verhuizen</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deelnemernaam hangt af van de deelnemer, niet van de combinatie deelnemer-en-regeling</w:t>
            </w:r>
          </w:p>
        </w:tc>
      </w:tr>
      <w:tr>
        <w:tc>
          <w:tcPr>
            <w:tcW w:type="dxa" w:w="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3NF</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2NF, plus: geen enkel niet-sleutelattribuut hangt van een ander niet-sleutelattribuut af</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Afgeleide afhankelijkheden verdwijnen</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werkgeveradres hangt af van de werkgever, niet van de deelnemer — Werkgever wordt een eigen entiteit</w:t>
            </w:r>
          </w:p>
        </w:tc>
      </w:tr>
    </w:tbl>
    <w:p>
      <w:pPr>
        <w:spacing w:after="140"/>
      </w:pPr>
      <w:r>
        <w:t xml:space="preserve"/>
      </w:r>
    </w:p>
    <w:p>
      <w:pPr>
        <w:spacing w:after="140" w:line="288"/>
      </w:pPr>
      <w:r>
        <w:rPr>
          <w:rFonts w:ascii="Calibri" w:cs="Calibri" w:eastAsia="Calibri" w:hAnsi="Calibri"/>
          <w:color w:val="0E1A1C"/>
          <w:sz w:val="21"/>
          <w:szCs w:val="21"/>
        </w:rPr>
        <w:t xml:space="preserve">Het resultaat is dat een verhuizing van een werkgever op één plek wordt bijgewerkt in plaats van bij elke deelnemer afzonderlijk. Precies dat soort tegenstrijdigheid — dezelfde werkgever met drie verschillende adressen — is wat Meridiaan in haar systeem tegenkomt.</w:t>
      </w:r>
    </w:p>
    <w:p>
      <w:pPr>
        <w:pStyle w:val="Heading3"/>
        <w:spacing w:after="100" w:before="240"/>
      </w:pPr>
      <w:r>
        <w:rPr>
          <w:rFonts w:ascii="Calibri" w:cs="Calibri" w:eastAsia="Calibri" w:hAnsi="Calibri"/>
          <w:b/>
          <w:bCs/>
          <w:color w:val="3F7D74"/>
          <w:sz w:val="22"/>
          <w:szCs w:val="22"/>
        </w:rPr>
        <w:t xml:space="preserve">En dan weer terug: denormaliseren</w:t>
      </w:r>
    </w:p>
    <w:p>
      <w:pPr>
        <w:spacing w:after="140" w:line="288"/>
      </w:pPr>
      <w:r>
        <w:rPr>
          <w:rFonts w:ascii="Calibri" w:cs="Calibri" w:eastAsia="Calibri" w:hAnsi="Calibri"/>
          <w:color w:val="0E1A1C"/>
          <w:sz w:val="21"/>
          <w:szCs w:val="21"/>
        </w:rPr>
        <w:t xml:space="preserve">In een datawarehouse of rapportageomgeving wordt bewust weer samengevoegd, omdat lezen daar belangrijker is dan wijzigen. Dat is geen fout maar een andere afweging: normaliseren optimaliseert voor consistentie bij wijzigen, denormaliseren voor snelheid bij lezen. Deel 3 laat zien waarom die twee werelden naast elkaar bestaan.</w:t>
      </w:r>
    </w:p>
    <w:p>
      <w:r>
        <w:br w:type="page"/>
      </w:r>
    </w:p>
    <w:p>
      <w:pPr>
        <w:pStyle w:val="Heading1"/>
        <w:spacing w:after="200" w:before="420"/>
      </w:pPr>
      <w:r>
        <w:rPr>
          <w:rFonts w:ascii="Cambria" w:cs="Cambria" w:eastAsia="Cambria" w:hAnsi="Cambria"/>
          <w:b/>
          <w:bCs/>
          <w:color w:val="1B4A48"/>
          <w:sz w:val="34"/>
          <w:szCs w:val="34"/>
        </w:rPr>
        <w:t xml:space="preserve">7. Drie abstractieniveaus</w:t>
      </w:r>
    </w:p>
    <w:p>
      <w:pPr>
        <w:spacing w:after="140" w:line="288"/>
      </w:pPr>
      <w:r>
        <w:rPr>
          <w:rFonts w:ascii="Calibri" w:cs="Calibri" w:eastAsia="Calibri" w:hAnsi="Calibri"/>
          <w:color w:val="0E1A1C"/>
          <w:sz w:val="21"/>
          <w:szCs w:val="21"/>
        </w:rPr>
        <w:t xml:space="preserve">Hetzelfde onderwerp wordt op drie niveaus vastgelegd, voor drie verschillende publieken. Wie de niveaus door elkaar haalt, voert een gesprek over kolomtypes met iemand die wil weten wat een deelnemer is.</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100"/>
        <w:gridCol w:w="2300"/>
        <w:gridCol w:w="2700"/>
        <w:gridCol w:w="1920"/>
      </w:tblGrid>
      <w:tr>
        <w:trPr>
          <w:tblHeader/>
        </w:trPr>
        <w:tc>
          <w:tcPr>
            <w:tcW w:type="dxa" w:w="21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Niveau</w:t>
            </w:r>
          </w:p>
        </w:tc>
        <w:tc>
          <w:tcPr>
            <w:tcW w:type="dxa" w:w="23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Publiek</w:t>
            </w:r>
          </w:p>
        </w:tc>
        <w:tc>
          <w:tcPr>
            <w:tcW w:type="dxa" w:w="2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Bevat</w:t>
            </w:r>
          </w:p>
        </w:tc>
        <w:tc>
          <w:tcPr>
            <w:tcW w:type="dxa" w:w="19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Bevat níét</w:t>
            </w:r>
          </w:p>
        </w:tc>
      </w:tr>
      <w:tr>
        <w:tc>
          <w:tcPr>
            <w:tcW w:type="dxa" w:w="21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Conceptueel (CDM)</w:t>
            </w:r>
          </w:p>
        </w:tc>
        <w:tc>
          <w:tcPr>
            <w:tcW w:type="dxa" w:w="2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Business, bestuur, toezichthouder</w:t>
            </w:r>
          </w:p>
        </w:tc>
        <w:tc>
          <w:tcPr>
            <w:tcW w:type="dxa" w:w="2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Entiteiten, relaties, definities in bedrijfstaal</w:t>
            </w:r>
          </w:p>
        </w:tc>
        <w:tc>
          <w:tcPr>
            <w:tcW w:type="dxa" w:w="19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Attributen in detail, sleutels, techniek</w:t>
            </w:r>
          </w:p>
        </w:tc>
      </w:tr>
      <w:tr>
        <w:tc>
          <w:tcPr>
            <w:tcW w:type="dxa" w:w="21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Logisch (LDM)</w:t>
            </w:r>
          </w:p>
        </w:tc>
        <w:tc>
          <w:tcPr>
            <w:tcW w:type="dxa" w:w="2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Analisten, architecten, stewards</w:t>
            </w:r>
          </w:p>
        </w:tc>
        <w:tc>
          <w:tcPr>
            <w:tcW w:type="dxa" w:w="2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Alle attributen, sleutels, kardinaliteit, normalisatie</w:t>
            </w:r>
          </w:p>
        </w:tc>
        <w:tc>
          <w:tcPr>
            <w:tcW w:type="dxa" w:w="19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Technologiekeuzes, indexen, datatypes van een specifiek platform</w:t>
            </w:r>
          </w:p>
        </w:tc>
      </w:tr>
      <w:tr>
        <w:tc>
          <w:tcPr>
            <w:tcW w:type="dxa" w:w="21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Fysiek (PDM)</w:t>
            </w:r>
          </w:p>
        </w:tc>
        <w:tc>
          <w:tcPr>
            <w:tcW w:type="dxa" w:w="2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Ontwikkelaars, DBA’s</w:t>
            </w:r>
          </w:p>
        </w:tc>
        <w:tc>
          <w:tcPr>
            <w:tcW w:type="dxa" w:w="2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Tabellen, kolomtypes, indexen, partities</w:t>
            </w:r>
          </w:p>
        </w:tc>
        <w:tc>
          <w:tcPr>
            <w:tcW w:type="dxa" w:w="19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Betekenis — die staat in de andere twee</w:t>
            </w:r>
          </w:p>
        </w:tc>
      </w:tr>
    </w:tbl>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Waarom dit voor jouw werk telt</w:t>
            </w:r>
          </w:p>
          <w:p>
            <w:pPr>
              <w:spacing w:after="60" w:line="280"/>
            </w:pPr>
            <w:r>
              <w:rPr>
                <w:rFonts w:ascii="Calibri" w:cs="Calibri" w:eastAsia="Calibri" w:hAnsi="Calibri"/>
                <w:color w:val="0E1A1C"/>
                <w:sz w:val="20"/>
                <w:szCs w:val="20"/>
              </w:rPr>
              <w:t xml:space="preserve">Het conceptuele model is het enige artefact waarin een bestuurder en een ontwikkelaar dezelfde taal spreken. Als een organisatie er geen heeft — en de meeste hebben er geen — dan bestaat er geen plek waar de definitie van "actieve deelnemer" op een gezaghebbende manier is vastgelegd. Dat is geen modelleringsprobleem maar de oorzaak van vier concurrerende waarheden.</w:t>
            </w:r>
          </w:p>
        </w:tc>
      </w:tr>
    </w:tbl>
    <w:p>
      <w:pPr>
        <w:pStyle w:val="Heading1"/>
        <w:spacing w:after="200" w:before="420"/>
      </w:pPr>
      <w:r>
        <w:rPr>
          <w:rFonts w:ascii="Cambria" w:cs="Cambria" w:eastAsia="Cambria" w:hAnsi="Cambria"/>
          <w:b/>
          <w:bCs/>
          <w:color w:val="1B4A48"/>
          <w:sz w:val="34"/>
          <w:szCs w:val="34"/>
        </w:rPr>
        <w:t xml:space="preserve">8. Data naar functie</w:t>
      </w:r>
    </w:p>
    <w:p>
      <w:pPr>
        <w:spacing w:after="140" w:line="288"/>
      </w:pPr>
      <w:r>
        <w:rPr>
          <w:rFonts w:ascii="Calibri" w:cs="Calibri" w:eastAsia="Calibri" w:hAnsi="Calibri"/>
          <w:color w:val="0E1A1C"/>
          <w:sz w:val="21"/>
          <w:szCs w:val="21"/>
        </w:rPr>
        <w:t xml:space="preserve">Naast structuur is er indeling naar functie. Deze vier komen op het examen terug en worden in de praktijk regelmatig verward.</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900"/>
        <w:gridCol w:w="2600"/>
        <w:gridCol w:w="2300"/>
        <w:gridCol w:w="2220"/>
      </w:tblGrid>
      <w:tr>
        <w:trPr>
          <w:tblHeader/>
        </w:trPr>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Soort</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het is</w:t>
            </w:r>
          </w:p>
        </w:tc>
        <w:tc>
          <w:tcPr>
            <w:tcW w:type="dxa" w:w="23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Voorbeeld</w:t>
            </w:r>
          </w:p>
        </w:tc>
        <w:tc>
          <w:tcPr>
            <w:tcW w:type="dxa" w:w="22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Kenmerk</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Masterdata</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kernobjecten waar de organisatie om draait</w:t>
            </w:r>
          </w:p>
        </w:tc>
        <w:tc>
          <w:tcPr>
            <w:tcW w:type="dxa" w:w="2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Deelnemer, Werkgever, Product</w:t>
            </w:r>
          </w:p>
        </w:tc>
        <w:tc>
          <w:tcPr>
            <w:tcW w:type="dxa" w:w="22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Weinig wijzigingen, veel gebruikers, hoge impact bij fouten</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Referentiedata</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Toegestane waarden en classificaties</w:t>
            </w:r>
          </w:p>
        </w:tc>
        <w:tc>
          <w:tcPr>
            <w:tcW w:type="dxa" w:w="2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Landcodes, soort dienstverband, regelingtype</w:t>
            </w:r>
          </w:p>
        </w:tc>
        <w:tc>
          <w:tcPr>
            <w:tcW w:type="dxa" w:w="22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Vaak extern bepaald; beheer wordt structureel vergeten</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Transactiedata</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Vastlegging van gebeurtenissen</w:t>
            </w:r>
          </w:p>
        </w:tc>
        <w:tc>
          <w:tcPr>
            <w:tcW w:type="dxa" w:w="2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Premiebetaling, mutatie, waardeoverdracht</w:t>
            </w:r>
          </w:p>
        </w:tc>
        <w:tc>
          <w:tcPr>
            <w:tcW w:type="dxa" w:w="22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Groot volume, verwijst naar masterdata</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Metadata</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over data</w:t>
            </w:r>
          </w:p>
        </w:tc>
        <w:tc>
          <w:tcPr>
            <w:tcW w:type="dxa" w:w="2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Definitie, herkomst, eigenaar, laatste wijziging</w:t>
            </w:r>
          </w:p>
        </w:tc>
        <w:tc>
          <w:tcPr>
            <w:tcW w:type="dxa" w:w="22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Onzichtbaar tot het moment dat je hem nodig hebt</w:t>
            </w:r>
          </w:p>
        </w:tc>
      </w:tr>
    </w:tbl>
    <w:p>
      <w:pPr>
        <w:pStyle w:val="Heading1"/>
        <w:spacing w:after="200" w:before="420"/>
      </w:pPr>
      <w:r>
        <w:rPr>
          <w:rFonts w:ascii="Cambria" w:cs="Cambria" w:eastAsia="Cambria" w:hAnsi="Cambria"/>
          <w:b/>
          <w:bCs/>
          <w:color w:val="1B4A48"/>
          <w:sz w:val="34"/>
          <w:szCs w:val="34"/>
        </w:rPr>
        <w:t xml:space="preserve">9. Een model lezen: acht vragen</w:t>
      </w:r>
    </w:p>
    <w:p>
      <w:pPr>
        <w:spacing w:after="140" w:line="288"/>
      </w:pPr>
      <w:r>
        <w:rPr>
          <w:rFonts w:ascii="Calibri" w:cs="Calibri" w:eastAsia="Calibri" w:hAnsi="Calibri"/>
          <w:color w:val="0E1A1C"/>
          <w:sz w:val="21"/>
          <w:szCs w:val="21"/>
        </w:rPr>
        <w:t xml:space="preserve">Dit is het praktische gereedschap uit dit deel. Stel deze acht vragen bij elk model dat je onder ogen krijgt, en je vindt in vrijwel elk model iets wat niemand had opgemerkt.</w:t>
      </w:r>
    </w:p>
    <w:p>
      <w:pPr>
        <w:pStyle w:val="ListParagraph"/>
        <w:numPr>
          <w:ilvl w:val="0"/>
          <w:numId w:val="3"/>
        </w:numPr>
        <w:spacing w:after="70" w:line="280"/>
      </w:pPr>
      <w:r>
        <w:rPr>
          <w:rFonts w:ascii="Calibri" w:cs="Calibri" w:eastAsia="Calibri" w:hAnsi="Calibri"/>
          <w:color w:val="0E1A1C"/>
          <w:sz w:val="21"/>
          <w:szCs w:val="21"/>
        </w:rPr>
        <w:t xml:space="preserve">Op welk niveau is dit model — conceptueel, logisch of fysiek? Weet de maker dat zelf?</w:t>
      </w:r>
    </w:p>
    <w:p>
      <w:pPr>
        <w:pStyle w:val="ListParagraph"/>
        <w:numPr>
          <w:ilvl w:val="0"/>
          <w:numId w:val="3"/>
        </w:numPr>
        <w:spacing w:after="70" w:line="280"/>
      </w:pPr>
      <w:r>
        <w:rPr>
          <w:rFonts w:ascii="Calibri" w:cs="Calibri" w:eastAsia="Calibri" w:hAnsi="Calibri"/>
          <w:color w:val="0E1A1C"/>
          <w:sz w:val="21"/>
          <w:szCs w:val="21"/>
        </w:rPr>
        <w:t xml:space="preserve">Staat bij elke entiteit een definitie, en is die in bedrijfstaal geschreven?</w:t>
      </w:r>
    </w:p>
    <w:p>
      <w:pPr>
        <w:pStyle w:val="ListParagraph"/>
        <w:numPr>
          <w:ilvl w:val="0"/>
          <w:numId w:val="3"/>
        </w:numPr>
        <w:spacing w:after="70" w:line="280"/>
      </w:pPr>
      <w:r>
        <w:rPr>
          <w:rFonts w:ascii="Calibri" w:cs="Calibri" w:eastAsia="Calibri" w:hAnsi="Calibri"/>
          <w:color w:val="0E1A1C"/>
          <w:sz w:val="21"/>
          <w:szCs w:val="21"/>
        </w:rPr>
        <w:t xml:space="preserve">Welke entiteit heeft geen sleutel, of een sleutel waarvan ik betwijfel of hij uniek blijft?</w:t>
      </w:r>
    </w:p>
    <w:p>
      <w:pPr>
        <w:pStyle w:val="ListParagraph"/>
        <w:numPr>
          <w:ilvl w:val="0"/>
          <w:numId w:val="3"/>
        </w:numPr>
        <w:spacing w:after="70" w:line="280"/>
      </w:pPr>
      <w:r>
        <w:rPr>
          <w:rFonts w:ascii="Calibri" w:cs="Calibri" w:eastAsia="Calibri" w:hAnsi="Calibri"/>
          <w:color w:val="0E1A1C"/>
          <w:sz w:val="21"/>
          <w:szCs w:val="21"/>
        </w:rPr>
        <w:t xml:space="preserve">Welke relatie is verplicht gemaakt terwijl de werkelijkheid uitzonderingen kent?</w:t>
      </w:r>
    </w:p>
    <w:p>
      <w:pPr>
        <w:pStyle w:val="ListParagraph"/>
        <w:numPr>
          <w:ilvl w:val="0"/>
          <w:numId w:val="3"/>
        </w:numPr>
        <w:spacing w:after="70" w:line="280"/>
      </w:pPr>
      <w:r>
        <w:rPr>
          <w:rFonts w:ascii="Calibri" w:cs="Calibri" w:eastAsia="Calibri" w:hAnsi="Calibri"/>
          <w:color w:val="0E1A1C"/>
          <w:sz w:val="21"/>
          <w:szCs w:val="21"/>
        </w:rPr>
        <w:t xml:space="preserve">Waar zit een veel-op-veel-relatie, en wat is de vergeten betekenis van de koppelentiteit?</w:t>
      </w:r>
    </w:p>
    <w:p>
      <w:pPr>
        <w:pStyle w:val="ListParagraph"/>
        <w:numPr>
          <w:ilvl w:val="0"/>
          <w:numId w:val="3"/>
        </w:numPr>
        <w:spacing w:after="70" w:line="280"/>
      </w:pPr>
      <w:r>
        <w:rPr>
          <w:rFonts w:ascii="Calibri" w:cs="Calibri" w:eastAsia="Calibri" w:hAnsi="Calibri"/>
          <w:color w:val="0E1A1C"/>
          <w:sz w:val="21"/>
          <w:szCs w:val="21"/>
        </w:rPr>
        <w:t xml:space="preserve">Welk attribuut staat bij de verkeerde entiteit — hangt het echt van deze sleutel af?</w:t>
      </w:r>
    </w:p>
    <w:p>
      <w:pPr>
        <w:pStyle w:val="ListParagraph"/>
        <w:numPr>
          <w:ilvl w:val="0"/>
          <w:numId w:val="3"/>
        </w:numPr>
        <w:spacing w:after="70" w:line="280"/>
      </w:pPr>
      <w:r>
        <w:rPr>
          <w:rFonts w:ascii="Calibri" w:cs="Calibri" w:eastAsia="Calibri" w:hAnsi="Calibri"/>
          <w:color w:val="0E1A1C"/>
          <w:sz w:val="21"/>
          <w:szCs w:val="21"/>
        </w:rPr>
        <w:t xml:space="preserve">Welke van de vier functiesoorten mis ik? Waar is de referentiedata?</w:t>
      </w:r>
    </w:p>
    <w:p>
      <w:pPr>
        <w:pStyle w:val="ListParagraph"/>
        <w:numPr>
          <w:ilvl w:val="0"/>
          <w:numId w:val="3"/>
        </w:numPr>
        <w:spacing w:after="70" w:line="280"/>
      </w:pPr>
      <w:r>
        <w:rPr>
          <w:rFonts w:ascii="Calibri" w:cs="Calibri" w:eastAsia="Calibri" w:hAnsi="Calibri"/>
          <w:color w:val="0E1A1C"/>
          <w:sz w:val="21"/>
          <w:szCs w:val="21"/>
        </w:rPr>
        <w:t xml:space="preserve">Wat gebeurt er in dit model met historie: kan ik zien hoe het vorig jaar was?</w:t>
      </w:r>
    </w:p>
    <w:p>
      <w:pPr>
        <w:spacing w:after="140"/>
      </w:pPr>
      <w:r>
        <w:t xml:space="preserve"/>
      </w:r>
    </w:p>
    <w:p>
      <w:pPr>
        <w:spacing w:after="140" w:line="288"/>
      </w:pPr>
      <w:r>
        <w:rPr>
          <w:rFonts w:ascii="Calibri" w:cs="Calibri" w:eastAsia="Calibri" w:hAnsi="Calibri"/>
          <w:color w:val="0E1A1C"/>
          <w:sz w:val="21"/>
          <w:szCs w:val="21"/>
        </w:rPr>
        <w:t xml:space="preserve">Die laatste vraag is de meest onderschatte. Modellen leggen doorgaans de huidige situatie vast, terwijl een pensioenuitvoerder voortdurend moet kunnen reconstrueren wat er drie jaar geleden gold. Hoe je dat oplost, komt in deel 12 aan bod; in dit deel is het genoeg dat je de vraag stelt.</w:t>
      </w:r>
    </w:p>
    <w:p>
      <w:r>
        <w:br w:type="page"/>
      </w:r>
    </w:p>
    <w:p>
      <w:pPr>
        <w:pStyle w:val="Heading1"/>
        <w:spacing w:after="200" w:before="420"/>
      </w:pPr>
      <w:r>
        <w:rPr>
          <w:rFonts w:ascii="Cambria" w:cs="Cambria" w:eastAsia="Cambria" w:hAnsi="Cambria"/>
          <w:b/>
          <w:bCs/>
          <w:color w:val="1B4A48"/>
          <w:sz w:val="34"/>
          <w:szCs w:val="34"/>
        </w:rPr>
        <w:t xml:space="preserve">10. Vijf fouten die je gaat tegenkomen</w:t>
      </w:r>
    </w:p>
    <w:p>
      <w:pPr>
        <w:pStyle w:val="ListParagraph"/>
        <w:numPr>
          <w:ilvl w:val="0"/>
          <w:numId w:val="4"/>
        </w:numPr>
        <w:spacing w:after="70" w:line="280"/>
      </w:pPr>
      <w:r>
        <w:rPr>
          <w:rFonts w:ascii="Calibri" w:cs="Calibri" w:eastAsia="Calibri" w:hAnsi="Calibri"/>
          <w:color w:val="0E1A1C"/>
          <w:sz w:val="21"/>
          <w:szCs w:val="21"/>
        </w:rPr>
        <w:t xml:space="preserve">Entiteiten die eigenlijk schermen of rapporten zijn. "Overzicht deelnemergegevens" is geen entiteit.</w:t>
      </w:r>
    </w:p>
    <w:p>
      <w:pPr>
        <w:pStyle w:val="ListParagraph"/>
        <w:numPr>
          <w:ilvl w:val="0"/>
          <w:numId w:val="4"/>
        </w:numPr>
        <w:spacing w:after="70" w:line="280"/>
      </w:pPr>
      <w:r>
        <w:rPr>
          <w:rFonts w:ascii="Calibri" w:cs="Calibri" w:eastAsia="Calibri" w:hAnsi="Calibri"/>
          <w:color w:val="0E1A1C"/>
          <w:sz w:val="21"/>
          <w:szCs w:val="21"/>
        </w:rPr>
        <w:t xml:space="preserve">Een verplichte relatie waar de werkelijkheid uitzonderingen kent — en een medewerker die daarom een dummywaarde invult.</w:t>
      </w:r>
    </w:p>
    <w:p>
      <w:pPr>
        <w:pStyle w:val="ListParagraph"/>
        <w:numPr>
          <w:ilvl w:val="0"/>
          <w:numId w:val="4"/>
        </w:numPr>
        <w:spacing w:after="70" w:line="280"/>
      </w:pPr>
      <w:r>
        <w:rPr>
          <w:rFonts w:ascii="Calibri" w:cs="Calibri" w:eastAsia="Calibri" w:hAnsi="Calibri"/>
          <w:color w:val="0E1A1C"/>
          <w:sz w:val="21"/>
          <w:szCs w:val="21"/>
        </w:rPr>
        <w:t xml:space="preserve">Een natuurlijke sleutel die verandert, met als gevolg dat de historie breekt.</w:t>
      </w:r>
    </w:p>
    <w:p>
      <w:pPr>
        <w:pStyle w:val="ListParagraph"/>
        <w:numPr>
          <w:ilvl w:val="0"/>
          <w:numId w:val="4"/>
        </w:numPr>
        <w:spacing w:after="70" w:line="280"/>
      </w:pPr>
      <w:r>
        <w:rPr>
          <w:rFonts w:ascii="Calibri" w:cs="Calibri" w:eastAsia="Calibri" w:hAnsi="Calibri"/>
          <w:color w:val="0E1A1C"/>
          <w:sz w:val="21"/>
          <w:szCs w:val="21"/>
        </w:rPr>
        <w:t xml:space="preserve">Attributen bij de verkeerde entiteit, waardoor dezelfde werkgever drie adressen krijgt.</w:t>
      </w:r>
    </w:p>
    <w:p>
      <w:pPr>
        <w:pStyle w:val="ListParagraph"/>
        <w:numPr>
          <w:ilvl w:val="0"/>
          <w:numId w:val="4"/>
        </w:numPr>
        <w:spacing w:after="70" w:line="280"/>
      </w:pPr>
      <w:r>
        <w:rPr>
          <w:rFonts w:ascii="Calibri" w:cs="Calibri" w:eastAsia="Calibri" w:hAnsi="Calibri"/>
          <w:color w:val="0E1A1C"/>
          <w:sz w:val="21"/>
          <w:szCs w:val="21"/>
        </w:rPr>
        <w:t xml:space="preserve">Een model zonder definities. Dan is het een tekening, geen model.</w:t>
      </w:r>
    </w:p>
    <w:p>
      <w:pPr>
        <w:pStyle w:val="Heading1"/>
        <w:spacing w:after="200" w:before="420"/>
      </w:pPr>
      <w:r>
        <w:rPr>
          <w:rFonts w:ascii="Cambria" w:cs="Cambria" w:eastAsia="Cambria" w:hAnsi="Cambria"/>
          <w:b/>
          <w:bCs/>
          <w:color w:val="1B4A48"/>
          <w:sz w:val="34"/>
          <w:szCs w:val="34"/>
        </w:rPr>
        <w:t xml:space="preserve">11. Examenrelevantie</w:t>
      </w:r>
    </w:p>
    <w:p>
      <w:pPr>
        <w:spacing w:after="140" w:line="288"/>
      </w:pPr>
      <w:r>
        <w:rPr>
          <w:rFonts w:ascii="Calibri" w:cs="Calibri" w:eastAsia="Calibri" w:hAnsi="Calibri"/>
          <w:color w:val="0E1A1C"/>
          <w:sz w:val="21"/>
          <w:szCs w:val="21"/>
        </w:rPr>
        <w:t xml:space="preserve">Data Modeling &amp; Design is een van de zwaarst wegende kennisgebieden op het CDMP Fundamentals-examen. Dit deel legt de basis; deel 12 verdiept richting het specialistexamen. De terminologie volgt de DAMA-DMBOK2 Revised Edition en die is op het examen leidend.</w:t>
      </w:r>
    </w:p>
    <w:p>
      <w:pPr>
        <w:pStyle w:val="Heading3"/>
        <w:spacing w:after="100" w:before="240"/>
      </w:pPr>
      <w:r>
        <w:rPr>
          <w:rFonts w:ascii="Calibri" w:cs="Calibri" w:eastAsia="Calibri" w:hAnsi="Calibri"/>
          <w:b/>
          <w:bCs/>
          <w:color w:val="3F7D74"/>
          <w:sz w:val="22"/>
          <w:szCs w:val="22"/>
        </w:rPr>
        <w:t xml:space="preserve">Aandachtspunten</w:t>
      </w:r>
    </w:p>
    <w:p>
      <w:pPr>
        <w:pStyle w:val="ListParagraph"/>
        <w:numPr>
          <w:ilvl w:val="0"/>
          <w:numId w:val="5"/>
        </w:numPr>
        <w:spacing w:after="70" w:line="280"/>
      </w:pPr>
      <w:r>
        <w:rPr>
          <w:rFonts w:ascii="Calibri" w:cs="Calibri" w:eastAsia="Calibri" w:hAnsi="Calibri"/>
          <w:color w:val="0E1A1C"/>
          <w:sz w:val="21"/>
          <w:szCs w:val="21"/>
        </w:rPr>
        <w:t xml:space="preserve">De drie abstractieniveaus en per niveau het publiek — dit wordt via scenario’s getoetst.</w:t>
      </w:r>
    </w:p>
    <w:p>
      <w:pPr>
        <w:pStyle w:val="ListParagraph"/>
        <w:numPr>
          <w:ilvl w:val="0"/>
          <w:numId w:val="5"/>
        </w:numPr>
        <w:spacing w:after="70" w:line="280"/>
      </w:pPr>
      <w:r>
        <w:rPr>
          <w:rFonts w:ascii="Calibri" w:cs="Calibri" w:eastAsia="Calibri" w:hAnsi="Calibri"/>
          <w:color w:val="0E1A1C"/>
          <w:sz w:val="21"/>
          <w:szCs w:val="21"/>
        </w:rPr>
        <w:t xml:space="preserve">De normaalvormen tot en met 3NF: niet alleen de regel, maar welk probleem elke vorm oplost.</w:t>
      </w:r>
    </w:p>
    <w:p>
      <w:pPr>
        <w:pStyle w:val="ListParagraph"/>
        <w:numPr>
          <w:ilvl w:val="0"/>
          <w:numId w:val="5"/>
        </w:numPr>
        <w:spacing w:after="70" w:line="280"/>
      </w:pPr>
      <w:r>
        <w:rPr>
          <w:rFonts w:ascii="Calibri" w:cs="Calibri" w:eastAsia="Calibri" w:hAnsi="Calibri"/>
          <w:color w:val="0E1A1C"/>
          <w:sz w:val="21"/>
          <w:szCs w:val="21"/>
        </w:rPr>
        <w:t xml:space="preserve">Kardinaliteit en optionaliteit los van elkaar kunnen lezen.</w:t>
      </w:r>
    </w:p>
    <w:p>
      <w:pPr>
        <w:pStyle w:val="ListParagraph"/>
        <w:numPr>
          <w:ilvl w:val="0"/>
          <w:numId w:val="5"/>
        </w:numPr>
        <w:spacing w:after="70" w:line="280"/>
      </w:pPr>
      <w:r>
        <w:rPr>
          <w:rFonts w:ascii="Calibri" w:cs="Calibri" w:eastAsia="Calibri" w:hAnsi="Calibri"/>
          <w:color w:val="0E1A1C"/>
          <w:sz w:val="21"/>
          <w:szCs w:val="21"/>
        </w:rPr>
        <w:t xml:space="preserve">Master, reference, transaction en metadata uit elkaar houden.</w:t>
      </w:r>
    </w:p>
    <w:p>
      <w:pPr>
        <w:pStyle w:val="ListParagraph"/>
        <w:numPr>
          <w:ilvl w:val="0"/>
          <w:numId w:val="5"/>
        </w:numPr>
        <w:spacing w:after="70" w:line="280"/>
      </w:pPr>
      <w:r>
        <w:rPr>
          <w:rFonts w:ascii="Calibri" w:cs="Calibri" w:eastAsia="Calibri" w:hAnsi="Calibri"/>
          <w:color w:val="0E1A1C"/>
          <w:sz w:val="21"/>
          <w:szCs w:val="21"/>
        </w:rPr>
        <w:t xml:space="preserve">Engelse termen: entity, attribute, cardinality, optionality, surrogate key, normalization, denormalization.</w:t>
      </w:r>
    </w:p>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Studiemateriaal bij dit deel</w:t>
            </w:r>
          </w:p>
          <w:p>
            <w:pPr>
              <w:spacing w:after="60" w:line="280"/>
            </w:pPr>
            <w:r>
              <w:rPr>
                <w:rFonts w:ascii="Calibri" w:cs="Calibri" w:eastAsia="Calibri" w:hAnsi="Calibri"/>
                <w:color w:val="0E1A1C"/>
                <w:sz w:val="20"/>
                <w:szCs w:val="20"/>
              </w:rPr>
              <w:t xml:space="preserve">Kernbron: het hoofdstuk over data modeling and design in de DAMA-DMBOK2 Revised Edition. Schaf deze zelf aan — tijdens het examen is dit het enige toegestane hulpmiddel, in papier óf digitaal.</w:t>
            </w:r>
          </w:p>
          <w:p>
            <w:pPr>
              <w:spacing w:after="60" w:line="280"/>
            </w:pPr>
            <w:r>
              <w:rPr>
                <w:rFonts w:ascii="Calibri" w:cs="Calibri" w:eastAsia="Calibri" w:hAnsi="Calibri"/>
                <w:color w:val="0E1A1C"/>
                <w:sz w:val="20"/>
                <w:szCs w:val="20"/>
              </w:rPr>
              <w:t xml:space="preserve">Examenopzet en wegingen per kennisgebied: cdmp.info/exams en dama.org/certification.</w:t>
            </w:r>
          </w:p>
          <w:p>
            <w:pPr>
              <w:spacing w:after="60" w:line="280"/>
            </w:pPr>
            <w:r>
              <w:rPr>
                <w:rFonts w:ascii="Calibri" w:cs="Calibri" w:eastAsia="Calibri" w:hAnsi="Calibri"/>
                <w:color w:val="0E1A1C"/>
                <w:sz w:val="20"/>
                <w:szCs w:val="20"/>
              </w:rPr>
              <w:t xml:space="preserve">Dit materiaal reproduceert geen van deze bronnen en vervangt ze niet.</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2 — Databasics en modelleren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Databasics en modelleren — Deelnemersreader</dc:title>
  <dc:creator>Ductus B.V.</dc:creator>
  <dc:description>Cursusmateriaal datamanagement, data-analyse en data governance</dc:description>
  <cp:lastModifiedBy>Un-named</cp:lastModifiedBy>
  <cp:revision>1</cp:revision>
  <dcterms:created xsi:type="dcterms:W3CDTF">2026-08-05T10:35:00.705Z</dcterms:created>
  <dcterms:modified xsi:type="dcterms:W3CDTF">2026-08-05T10:35:00.705Z</dcterms:modified>
</cp:coreProperties>
</file>

<file path=docProps/custom.xml><?xml version="1.0" encoding="utf-8"?>
<Properties xmlns="http://schemas.openxmlformats.org/officeDocument/2006/custom-properties" xmlns:vt="http://schemas.openxmlformats.org/officeDocument/2006/docPropsVTypes"/>
</file>