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5</w:t>
      </w:r>
    </w:p>
    <w:p>
      <w:pPr>
        <w:spacing w:after="120"/>
      </w:pPr>
      <w:r>
        <w:rPr>
          <w:rFonts w:ascii="Cambria" w:cs="Cambria" w:eastAsia="Cambria" w:hAnsi="Cambria"/>
          <w:b/>
          <w:bCs/>
          <w:color w:val="0E1A1C"/>
          <w:sz w:val="56"/>
          <w:szCs w:val="56"/>
        </w:rPr>
        <w:t xml:space="preserve">Fundamenten van data-analyse</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Oefendatabase klaargezet, geprint schema, whiteboard</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5 gelezen; delen 1 tot en met 4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de toegang tot de oefendatabase vóór de sessie getest. Vraag hier expliciet naar bij binnenkomst; één deelnemer die niet kan inloggen kost een kwartier van de hele groep.</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oefendatabase met het vereenvoudigde Meridiaan-schema: deelnemer, werkgever, regeling, deelname, premiebetaling. Zorg dat er 340 deelnemers verwijzen naar een niet-bestaande werkgever, en dat de aanspraken duidelijk scheef verdeeld zijn met een kleine directiepopulatie in de staart.</w:t>
      </w:r>
    </w:p>
    <w:p>
      <w:pPr>
        <w:pStyle w:val="ListParagraph"/>
        <w:numPr>
          <w:ilvl w:val="0"/>
          <w:numId w:val="2"/>
        </w:numPr>
        <w:spacing w:after="70" w:line="280"/>
      </w:pPr>
      <w:r>
        <w:rPr>
          <w:rFonts w:ascii="Calibri" w:cs="Calibri" w:eastAsia="Calibri" w:hAnsi="Calibri"/>
          <w:color w:val="0E1A1C"/>
          <w:sz w:val="21"/>
          <w:szCs w:val="21"/>
        </w:rPr>
        <w:t xml:space="preserve">Het schema geprint op A3, één per tweetal. Deelnemers die het schema voor zich hebben, schrijven betere queries.</w:t>
      </w:r>
    </w:p>
    <w:p>
      <w:pPr>
        <w:pStyle w:val="ListParagraph"/>
        <w:numPr>
          <w:ilvl w:val="0"/>
          <w:numId w:val="2"/>
        </w:numPr>
        <w:spacing w:after="70" w:line="280"/>
      </w:pPr>
      <w:r>
        <w:rPr>
          <w:rFonts w:ascii="Calibri" w:cs="Calibri" w:eastAsia="Calibri" w:hAnsi="Calibri"/>
          <w:color w:val="0E1A1C"/>
          <w:sz w:val="21"/>
          <w:szCs w:val="21"/>
        </w:rPr>
        <w:t xml:space="preserve">Twee uitgewerkte voorbeeldqueries achter de hand voor deelnemers die vastlopen op vraag (h).</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4 ging over de kwaliteit van wat er door de keten stroomt; dit deel haalt er betekenis uit. Deel 6 gaat over de presentatie van die betekenis. Deel 18 en 19 verdiepen dit tot de CBDA-lijn met significantie, experimenten en advisering; deel 28 gaat naar causale inferentie. Voor het Fundamentals-examen raakt dit deel Big Data &amp; Data Science, en het levert de SQL- en statistiekbasis voor wie PL-300 overweegt.</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wat heb je aangetoond, en wat niet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met een overclaimende zin en laat de groep hem afzwakken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analysetypen, bespreking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derde vraag uit hoofdstuk 3 is het zwaartepunt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SQL</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vraag (h) vraagt om de koppelentiteit uit deel 2</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1:50–2:25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de join die weggooit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Dit is het kernmoment van de dag; neem er de tijd voor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2:25–3:05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gemiddelde of mediaan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Laat beide verhalen hardop vertellen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3:05–3:40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correlatie en confounder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twee formuleringen naast elkaar af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3:40–4:00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Verantwoording en 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Analysetype bepalen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beschrijvend, (b) diagnostisch, (c) voorspellend, (d) voorschrijvend, (e) beschrijvend, (f) diagnostisch, (g) voorspellend, (h) beschrijvend.</w:t>
      </w:r>
    </w:p>
    <w:p>
      <w:pPr>
        <w:pStyle w:val="ListParagraph"/>
        <w:numPr>
          <w:ilvl w:val="0"/>
          <w:numId w:val="2"/>
        </w:numPr>
        <w:spacing w:after="70" w:line="280"/>
      </w:pPr>
      <w:r>
        <w:rPr>
          <w:rFonts w:ascii="Calibri" w:cs="Calibri" w:eastAsia="Calibri" w:hAnsi="Calibri"/>
          <w:color w:val="0E1A1C"/>
          <w:sz w:val="21"/>
          <w:szCs w:val="21"/>
        </w:rPr>
        <w:t xml:space="preserve">Bij (a), (e) en (h) gemarkeerd dat de vraagsteller waarschijnlijk een verklaring wil.</w:t>
      </w:r>
    </w:p>
    <w:p>
      <w:pPr>
        <w:pStyle w:val="ListParagraph"/>
        <w:numPr>
          <w:ilvl w:val="0"/>
          <w:numId w:val="2"/>
        </w:numPr>
        <w:spacing w:after="70" w:line="280"/>
      </w:pPr>
      <w:r>
        <w:rPr>
          <w:rFonts w:ascii="Calibri" w:cs="Calibri" w:eastAsia="Calibri" w:hAnsi="Calibri"/>
          <w:color w:val="0E1A1C"/>
          <w:sz w:val="21"/>
          <w:szCs w:val="21"/>
        </w:rPr>
        <w:t xml:space="preserve">Technieken correct gekoppeld: uitsplitsen en vergelijken bij diagnostisch, extrapolatie bij voorspellend.</w:t>
      </w:r>
    </w:p>
    <w:p>
      <w:pPr>
        <w:pStyle w:val="ListParagraph"/>
        <w:numPr>
          <w:ilvl w:val="0"/>
          <w:numId w:val="2"/>
        </w:numPr>
        <w:spacing w:after="70" w:line="280"/>
      </w:pPr>
      <w:r>
        <w:rPr>
          <w:rFonts w:ascii="Calibri" w:cs="Calibri" w:eastAsia="Calibri" w:hAnsi="Calibri"/>
          <w:color w:val="0E1A1C"/>
          <w:sz w:val="21"/>
          <w:szCs w:val="21"/>
        </w:rPr>
        <w:t xml:space="preserve">Herkenning dat (d) een besluit vraagt en dus prioritering, niet alleen een lijst.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(f) als beschrijvend indelen omdat er een vergelijking in zit. Het woord "verklaart" maakt het diagnostisch.</w:t>
      </w:r>
    </w:p>
    <w:p>
      <w:pPr>
        <w:pStyle w:val="ListParagraph"/>
        <w:numPr>
          <w:ilvl w:val="0"/>
          <w:numId w:val="2"/>
        </w:numPr>
        <w:spacing w:after="70" w:line="280"/>
      </w:pPr>
      <w:r>
        <w:rPr>
          <w:rFonts w:ascii="Calibri" w:cs="Calibri" w:eastAsia="Calibri" w:hAnsi="Calibri"/>
          <w:color w:val="0E1A1C"/>
          <w:sz w:val="21"/>
          <w:szCs w:val="21"/>
        </w:rPr>
        <w:t xml:space="preserve">Alle vragen als beschrijvend afdoen omdat ze met een query te beantwoorden zijn. Het type volgt uit de vraag, niet uit de techniek.</w:t>
      </w:r>
    </w:p>
    <w:p>
      <w:pPr>
        <w:pStyle w:val="ListParagraph"/>
        <w:numPr>
          <w:ilvl w:val="0"/>
          <w:numId w:val="2"/>
        </w:numPr>
        <w:spacing w:after="70" w:line="280"/>
      </w:pPr>
      <w:r>
        <w:rPr>
          <w:rFonts w:ascii="Calibri" w:cs="Calibri" w:eastAsia="Calibri" w:hAnsi="Calibri"/>
          <w:color w:val="0E1A1C"/>
          <w:sz w:val="21"/>
          <w:szCs w:val="21"/>
        </w:rPr>
        <w:t xml:space="preserve">De markering overslaan; dat is juist het praktische leerpunt.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Bij welke vraag uit je eigen werk leverde je een getal terwijl men een verklaring wilde?</w:t>
            </w:r>
          </w:p>
        </w:tc>
      </w:tr>
    </w:tbl>
    <w:p>
      <w:pPr>
        <w:pStyle w:val="Heading2"/>
        <w:spacing w:after="140" w:before="340"/>
      </w:pPr>
      <w:r>
        <w:rPr>
          <w:rFonts w:ascii="Cambria" w:cs="Cambria" w:eastAsia="Cambria" w:hAnsi="Cambria"/>
          <w:b/>
          <w:bCs/>
          <w:color w:val="0E1A1C"/>
          <w:sz w:val="26"/>
          <w:szCs w:val="26"/>
        </w:rPr>
        <w:t xml:space="preserve">Opdracht 2 — Vraag aanscherpen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herschreven met tijdvenster, populatie en maat: uitstroom van actieve deelnemers per kwartaal, afgezet tegen het voorgaande jaar.</w:t>
      </w:r>
    </w:p>
    <w:p>
      <w:pPr>
        <w:pStyle w:val="ListParagraph"/>
        <w:numPr>
          <w:ilvl w:val="0"/>
          <w:numId w:val="2"/>
        </w:numPr>
        <w:spacing w:after="70" w:line="280"/>
      </w:pPr>
      <w:r>
        <w:rPr>
          <w:rFonts w:ascii="Calibri" w:cs="Calibri" w:eastAsia="Calibri" w:hAnsi="Calibri"/>
          <w:color w:val="0E1A1C"/>
          <w:sz w:val="21"/>
          <w:szCs w:val="21"/>
        </w:rPr>
        <w:t xml:space="preserve">(b) herkend als te vaag om te analyseren; het beste antwoord vraagt eerst om het besluit.</w:t>
      </w:r>
    </w:p>
    <w:p>
      <w:pPr>
        <w:pStyle w:val="ListParagraph"/>
        <w:numPr>
          <w:ilvl w:val="0"/>
          <w:numId w:val="2"/>
        </w:numPr>
        <w:spacing w:after="70" w:line="280"/>
      </w:pPr>
      <w:r>
        <w:rPr>
          <w:rFonts w:ascii="Calibri" w:cs="Calibri" w:eastAsia="Calibri" w:hAnsi="Calibri"/>
          <w:color w:val="0E1A1C"/>
          <w:sz w:val="21"/>
          <w:szCs w:val="21"/>
        </w:rPr>
        <w:t xml:space="preserve">(c) ontleed in drie mogelijke betekenissen: gebruikt men het, doet het wat het moet, en leidt het tot ander gedrag.</w:t>
      </w:r>
    </w:p>
    <w:p>
      <w:pPr>
        <w:pStyle w:val="ListParagraph"/>
        <w:numPr>
          <w:ilvl w:val="0"/>
          <w:numId w:val="2"/>
        </w:numPr>
        <w:spacing w:after="70" w:line="280"/>
      </w:pPr>
      <w:r>
        <w:rPr>
          <w:rFonts w:ascii="Calibri" w:cs="Calibri" w:eastAsia="Calibri" w:hAnsi="Calibri"/>
          <w:color w:val="0E1A1C"/>
          <w:sz w:val="21"/>
          <w:szCs w:val="21"/>
        </w:rPr>
        <w:t xml:space="preserve">Bij minstens één vraag geconstateerd dat elk antwoord tot hetzelfde besluit leidt en de analyse dus niet nodig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beginnen met data zonder de vier vragen. Vraag: voor welk besluit is dit?</w:t>
      </w:r>
    </w:p>
    <w:p>
      <w:pPr>
        <w:pStyle w:val="ListParagraph"/>
        <w:numPr>
          <w:ilvl w:val="0"/>
          <w:numId w:val="2"/>
        </w:numPr>
        <w:spacing w:after="70" w:line="280"/>
      </w:pPr>
      <w:r>
        <w:rPr>
          <w:rFonts w:ascii="Calibri" w:cs="Calibri" w:eastAsia="Calibri" w:hAnsi="Calibri"/>
          <w:color w:val="0E1A1C"/>
          <w:sz w:val="21"/>
          <w:szCs w:val="21"/>
        </w:rPr>
        <w:t xml:space="preserve">(b) herschrijven tot een dashboard. Een dashboard is geen antwoord op een onbekende vraag.</w:t>
      </w:r>
    </w:p>
    <w:p>
      <w:pPr>
        <w:pStyle w:val="ListParagraph"/>
        <w:numPr>
          <w:ilvl w:val="0"/>
          <w:numId w:val="2"/>
        </w:numPr>
        <w:spacing w:after="70" w:line="280"/>
      </w:pPr>
      <w:r>
        <w:rPr>
          <w:rFonts w:ascii="Calibri" w:cs="Calibri" w:eastAsia="Calibri" w:hAnsi="Calibri"/>
          <w:color w:val="0E1A1C"/>
          <w:sz w:val="21"/>
          <w:szCs w:val="21"/>
        </w:rPr>
        <w:t xml:space="preserve">De beslissingsrelevantie overslaan; dat is de kern van de opdracht.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als blijkt dat het besluit al genomen is en jouw analyse als onderbouwing achteraf dient?</w:t>
            </w:r>
          </w:p>
        </w:tc>
      </w:tr>
    </w:tbl>
    <w:p>
      <w:pPr>
        <w:pStyle w:val="Heading2"/>
        <w:spacing w:after="140" w:before="340"/>
      </w:pPr>
      <w:r>
        <w:rPr>
          <w:rFonts w:ascii="Cambria" w:cs="Cambria" w:eastAsia="Cambria" w:hAnsi="Cambria"/>
          <w:b/>
          <w:bCs/>
          <w:color w:val="0E1A1C"/>
          <w:sz w:val="26"/>
          <w:szCs w:val="26"/>
        </w:rPr>
        <w:t xml:space="preserve">Opdracht 3 — SQL — acht vragen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acht queries werkend, met GROUP BY waar nodig en HAVING bij (d) en (g).</w:t>
      </w:r>
    </w:p>
    <w:p>
      <w:pPr>
        <w:pStyle w:val="ListParagraph"/>
        <w:numPr>
          <w:ilvl w:val="0"/>
          <w:numId w:val="2"/>
        </w:numPr>
        <w:spacing w:after="70" w:line="280"/>
      </w:pPr>
      <w:r>
        <w:rPr>
          <w:rFonts w:ascii="Calibri" w:cs="Calibri" w:eastAsia="Calibri" w:hAnsi="Calibri"/>
          <w:color w:val="0E1A1C"/>
          <w:sz w:val="21"/>
          <w:szCs w:val="21"/>
        </w:rPr>
        <w:t xml:space="preserve">Bij (h) de koppelentiteit deelname gebruikt in plaats van de deelnemertabel — dat is het inzicht uit deel 2.</w:t>
      </w:r>
    </w:p>
    <w:p>
      <w:pPr>
        <w:pStyle w:val="ListParagraph"/>
        <w:numPr>
          <w:ilvl w:val="0"/>
          <w:numId w:val="2"/>
        </w:numPr>
        <w:spacing w:after="70" w:line="280"/>
      </w:pPr>
      <w:r>
        <w:rPr>
          <w:rFonts w:ascii="Calibri" w:cs="Calibri" w:eastAsia="Calibri" w:hAnsi="Calibri"/>
          <w:color w:val="0E1A1C"/>
          <w:sz w:val="21"/>
          <w:szCs w:val="21"/>
        </w:rPr>
        <w:t xml:space="preserve">De foutmelding bij het filteren op een berekende kolom correct verklaard met de uitvoeringsvolgorde.</w:t>
      </w:r>
    </w:p>
    <w:p>
      <w:pPr>
        <w:pStyle w:val="ListParagraph"/>
        <w:numPr>
          <w:ilvl w:val="0"/>
          <w:numId w:val="2"/>
        </w:numPr>
        <w:spacing w:after="70" w:line="280"/>
      </w:pPr>
      <w:r>
        <w:rPr>
          <w:rFonts w:ascii="Calibri" w:cs="Calibri" w:eastAsia="Calibri" w:hAnsi="Calibri"/>
          <w:color w:val="0E1A1C"/>
          <w:sz w:val="21"/>
          <w:szCs w:val="21"/>
        </w:rPr>
        <w:t xml:space="preserve">Bij (c) een expliciete keuze gemaakt over wat "het laatste jaar" betekent, en die genoteerd.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WHERE gebruiken waar HAVING nodig is. Laat de volgorde van uitvoering hardop benoemen.</w:t>
      </w:r>
    </w:p>
    <w:p>
      <w:pPr>
        <w:pStyle w:val="ListParagraph"/>
        <w:numPr>
          <w:ilvl w:val="0"/>
          <w:numId w:val="2"/>
        </w:numPr>
        <w:spacing w:after="70" w:line="280"/>
      </w:pPr>
      <w:r>
        <w:rPr>
          <w:rFonts w:ascii="Calibri" w:cs="Calibri" w:eastAsia="Calibri" w:hAnsi="Calibri"/>
          <w:color w:val="0E1A1C"/>
          <w:sz w:val="21"/>
          <w:szCs w:val="21"/>
        </w:rPr>
        <w:t xml:space="preserve">Bij (h) proberen te tellen in de deelnemertabel. Stuur naar het schema op A3.</w:t>
      </w:r>
    </w:p>
    <w:p>
      <w:pPr>
        <w:pStyle w:val="ListParagraph"/>
        <w:numPr>
          <w:ilvl w:val="0"/>
          <w:numId w:val="2"/>
        </w:numPr>
        <w:spacing w:after="70" w:line="280"/>
      </w:pPr>
      <w:r>
        <w:rPr>
          <w:rFonts w:ascii="Calibri" w:cs="Calibri" w:eastAsia="Calibri" w:hAnsi="Calibri"/>
          <w:color w:val="0E1A1C"/>
          <w:sz w:val="21"/>
          <w:szCs w:val="21"/>
        </w:rPr>
        <w:t xml:space="preserve">Peildatum en tijdvenster impliciet laten. Dat is precies hoe drie rapportages gaan afwijken.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van deze acht queries zou een collega anders schrijven en toch een ander antwoord krijgen?</w:t>
            </w:r>
          </w:p>
        </w:tc>
      </w:tr>
    </w:tbl>
    <w:p>
      <w:pPr>
        <w:pStyle w:val="Heading2"/>
        <w:spacing w:after="140" w:before="340"/>
      </w:pPr>
      <w:r>
        <w:rPr>
          <w:rFonts w:ascii="Cambria" w:cs="Cambria" w:eastAsia="Cambria" w:hAnsi="Cambria"/>
          <w:b/>
          <w:bCs/>
          <w:color w:val="0E1A1C"/>
          <w:sz w:val="26"/>
          <w:szCs w:val="26"/>
        </w:rPr>
        <w:t xml:space="preserve">Opdracht 4 — De join die records weggooit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Het verschil van 340 gevonden en verklaard als verwijzingen naar een werkgever die na een fusie niet meer bestaat.</w:t>
      </w:r>
    </w:p>
    <w:p>
      <w:pPr>
        <w:pStyle w:val="ListParagraph"/>
        <w:numPr>
          <w:ilvl w:val="0"/>
          <w:numId w:val="2"/>
        </w:numPr>
        <w:spacing w:after="70" w:line="280"/>
      </w:pPr>
      <w:r>
        <w:rPr>
          <w:rFonts w:ascii="Calibri" w:cs="Calibri" w:eastAsia="Calibri" w:hAnsi="Calibri"/>
          <w:color w:val="0E1A1C"/>
          <w:sz w:val="21"/>
          <w:szCs w:val="21"/>
        </w:rPr>
        <w:t xml:space="preserve">Left join gebruikt om de weeskinderen zichtbaar te maken.</w:t>
      </w:r>
    </w:p>
    <w:p>
      <w:pPr>
        <w:pStyle w:val="ListParagraph"/>
        <w:numPr>
          <w:ilvl w:val="0"/>
          <w:numId w:val="2"/>
        </w:numPr>
        <w:spacing w:after="70" w:line="280"/>
      </w:pPr>
      <w:r>
        <w:rPr>
          <w:rFonts w:ascii="Calibri" w:cs="Calibri" w:eastAsia="Calibri" w:hAnsi="Calibri"/>
          <w:color w:val="0E1A1C"/>
          <w:sz w:val="21"/>
          <w:szCs w:val="21"/>
        </w:rPr>
        <w:t xml:space="preserve">De koppeling gelegd met de drie afwijkende deelnemersaantallen uit deel 3 en met de weeskinderen uit het profileringsrapport van deel 4.</w:t>
      </w:r>
    </w:p>
    <w:p>
      <w:pPr>
        <w:pStyle w:val="ListParagraph"/>
        <w:numPr>
          <w:ilvl w:val="0"/>
          <w:numId w:val="2"/>
        </w:numPr>
        <w:spacing w:after="70" w:line="280"/>
      </w:pPr>
      <w:r>
        <w:rPr>
          <w:rFonts w:ascii="Calibri" w:cs="Calibri" w:eastAsia="Calibri" w:hAnsi="Calibri"/>
          <w:color w:val="0E1A1C"/>
          <w:sz w:val="21"/>
          <w:szCs w:val="21"/>
        </w:rPr>
        <w:t xml:space="preserve">Een standaardcontrole geformuleerd: tel bronrijen vóór en resultaatrijen ná elke join.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verschil constateren en niet uitzoeken wie er is weggevallen. Het aantal is het begin, niet de bevinding.</w:t>
      </w:r>
    </w:p>
    <w:p>
      <w:pPr>
        <w:pStyle w:val="ListParagraph"/>
        <w:numPr>
          <w:ilvl w:val="0"/>
          <w:numId w:val="2"/>
        </w:numPr>
        <w:spacing w:after="70" w:line="280"/>
      </w:pPr>
      <w:r>
        <w:rPr>
          <w:rFonts w:ascii="Calibri" w:cs="Calibri" w:eastAsia="Calibri" w:hAnsi="Calibri"/>
          <w:color w:val="0E1A1C"/>
          <w:sz w:val="21"/>
          <w:szCs w:val="21"/>
        </w:rPr>
        <w:t xml:space="preserve">Denken dat een foutmelding zou zijn verschenen. Juist het ontbreken daarvan is de les.</w:t>
      </w:r>
    </w:p>
    <w:p>
      <w:pPr>
        <w:pStyle w:val="ListParagraph"/>
        <w:numPr>
          <w:ilvl w:val="0"/>
          <w:numId w:val="2"/>
        </w:numPr>
        <w:spacing w:after="70" w:line="280"/>
      </w:pPr>
      <w:r>
        <w:rPr>
          <w:rFonts w:ascii="Calibri" w:cs="Calibri" w:eastAsia="Calibri" w:hAnsi="Calibri"/>
          <w:color w:val="0E1A1C"/>
          <w:sz w:val="21"/>
          <w:szCs w:val="21"/>
        </w:rPr>
        <w:t xml:space="preserve">De controle formuleren als iets wat je doet bij twijfel. Doe hem altijd — juist als je zeker weet dat het klopt.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rapportages in jouw werk zijn gebouwd op een inner join waarvan niemand de weggevallen rijen heeft geteld?</w:t>
            </w:r>
          </w:p>
        </w:tc>
      </w:tr>
    </w:tbl>
    <w:p>
      <w:pPr>
        <w:pStyle w:val="Heading2"/>
        <w:spacing w:after="140" w:before="340"/>
      </w:pPr>
      <w:r>
        <w:rPr>
          <w:rFonts w:ascii="Cambria" w:cs="Cambria" w:eastAsia="Cambria" w:hAnsi="Cambria"/>
          <w:b/>
          <w:bCs/>
          <w:color w:val="0E1A1C"/>
          <w:sz w:val="26"/>
          <w:szCs w:val="26"/>
        </w:rPr>
        <w:t xml:space="preserve">Opdracht 5 — Gemiddelde of mediaan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Gemiddelde duidelijk boven de mediaan, met de scheve verdeling als verklaring.</w:t>
      </w:r>
    </w:p>
    <w:p>
      <w:pPr>
        <w:pStyle w:val="ListParagraph"/>
        <w:numPr>
          <w:ilvl w:val="0"/>
          <w:numId w:val="2"/>
        </w:numPr>
        <w:spacing w:after="70" w:line="280"/>
      </w:pPr>
      <w:r>
        <w:rPr>
          <w:rFonts w:ascii="Calibri" w:cs="Calibri" w:eastAsia="Calibri" w:hAnsi="Calibri"/>
          <w:color w:val="0E1A1C"/>
          <w:sz w:val="21"/>
          <w:szCs w:val="21"/>
        </w:rPr>
        <w:t xml:space="preserve">Twee verhalen die daadwerkelijk verschillen in strekking, niet alleen in getal.</w:t>
      </w:r>
    </w:p>
    <w:p>
      <w:pPr>
        <w:pStyle w:val="ListParagraph"/>
        <w:numPr>
          <w:ilvl w:val="0"/>
          <w:numId w:val="2"/>
        </w:numPr>
        <w:spacing w:after="70" w:line="280"/>
      </w:pPr>
      <w:r>
        <w:rPr>
          <w:rFonts w:ascii="Calibri" w:cs="Calibri" w:eastAsia="Calibri" w:hAnsi="Calibri"/>
          <w:color w:val="0E1A1C"/>
          <w:sz w:val="21"/>
          <w:szCs w:val="21"/>
        </w:rPr>
        <w:t xml:space="preserve">Keuze voor de mediaan als hoofdgetal, met het gemiddelde erbij en het verschil benoemd.</w:t>
      </w:r>
    </w:p>
    <w:p>
      <w:pPr>
        <w:pStyle w:val="ListParagraph"/>
        <w:numPr>
          <w:ilvl w:val="0"/>
          <w:numId w:val="2"/>
        </w:numPr>
        <w:spacing w:after="70" w:line="280"/>
      </w:pPr>
      <w:r>
        <w:rPr>
          <w:rFonts w:ascii="Calibri" w:cs="Calibri" w:eastAsia="Calibri" w:hAnsi="Calibri"/>
          <w:color w:val="0E1A1C"/>
          <w:sz w:val="21"/>
          <w:szCs w:val="21"/>
        </w:rPr>
        <w:t xml:space="preserve">De tien hoogste aanspraken herkend als een aparte populatie — de aanvullende directieregeling — met een aparte analyse als conclusie.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uitschieters verwijderen om het gemiddelde bruikbaar te maken. Vraag wat je dan hebt weggerekend.</w:t>
      </w:r>
    </w:p>
    <w:p>
      <w:pPr>
        <w:pStyle w:val="ListParagraph"/>
        <w:numPr>
          <w:ilvl w:val="0"/>
          <w:numId w:val="2"/>
        </w:numPr>
        <w:spacing w:after="70" w:line="280"/>
      </w:pPr>
      <w:r>
        <w:rPr>
          <w:rFonts w:ascii="Calibri" w:cs="Calibri" w:eastAsia="Calibri" w:hAnsi="Calibri"/>
          <w:color w:val="0E1A1C"/>
          <w:sz w:val="21"/>
          <w:szCs w:val="21"/>
        </w:rPr>
        <w:t xml:space="preserve">Alleen de mediaan rapporteren. Het gemiddelde is niet fout, het is onvolledig.</w:t>
      </w:r>
    </w:p>
    <w:p>
      <w:pPr>
        <w:pStyle w:val="ListParagraph"/>
        <w:numPr>
          <w:ilvl w:val="0"/>
          <w:numId w:val="2"/>
        </w:numPr>
        <w:spacing w:after="70" w:line="280"/>
      </w:pPr>
      <w:r>
        <w:rPr>
          <w:rFonts w:ascii="Calibri" w:cs="Calibri" w:eastAsia="Calibri" w:hAnsi="Calibri"/>
          <w:color w:val="0E1A1C"/>
          <w:sz w:val="21"/>
          <w:szCs w:val="21"/>
        </w:rPr>
        <w:t xml:space="preserve">Het interkwartielbereik overslaan; zonder spreiding is het antwoord half.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verhaal zou de directie liever horen, en wat betekent dat voor jouw onafhankelijkheid?</w:t>
            </w:r>
          </w:p>
        </w:tc>
      </w:tr>
    </w:tbl>
    <w:p>
      <w:pPr>
        <w:pStyle w:val="Heading2"/>
        <w:spacing w:after="140" w:before="340"/>
      </w:pPr>
      <w:r>
        <w:rPr>
          <w:rFonts w:ascii="Cambria" w:cs="Cambria" w:eastAsia="Cambria" w:hAnsi="Cambria"/>
          <w:b/>
          <w:bCs/>
          <w:color w:val="0E1A1C"/>
          <w:sz w:val="26"/>
          <w:szCs w:val="26"/>
        </w:rPr>
        <w:t xml:space="preserve">Opdracht 6 — Correlatie en confounder</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verklaringen genoemd, inclusief omgekeerde causaliteit — wie bijstort, gaat het portaal gebruiken om het te controleren.</w:t>
      </w:r>
    </w:p>
    <w:p>
      <w:pPr>
        <w:pStyle w:val="ListParagraph"/>
        <w:numPr>
          <w:ilvl w:val="0"/>
          <w:numId w:val="2"/>
        </w:numPr>
        <w:spacing w:after="70" w:line="280"/>
      </w:pPr>
      <w:r>
        <w:rPr>
          <w:rFonts w:ascii="Calibri" w:cs="Calibri" w:eastAsia="Calibri" w:hAnsi="Calibri"/>
          <w:color w:val="0E1A1C"/>
          <w:sz w:val="21"/>
          <w:szCs w:val="21"/>
        </w:rPr>
        <w:t xml:space="preserve">Leeftijd en inkomen als confounders, met de mechanismen erbij.</w:t>
      </w:r>
    </w:p>
    <w:p>
      <w:pPr>
        <w:pStyle w:val="ListParagraph"/>
        <w:numPr>
          <w:ilvl w:val="0"/>
          <w:numId w:val="2"/>
        </w:numPr>
        <w:spacing w:after="70" w:line="280"/>
      </w:pPr>
      <w:r>
        <w:rPr>
          <w:rFonts w:ascii="Calibri" w:cs="Calibri" w:eastAsia="Calibri" w:hAnsi="Calibri"/>
          <w:color w:val="0E1A1C"/>
          <w:sz w:val="21"/>
          <w:szCs w:val="21"/>
        </w:rPr>
        <w:t xml:space="preserve">Een onderzoeksopzet die richting vergelijking van vergelijkbare groepen of een experiment gaat.</w:t>
      </w:r>
    </w:p>
    <w:p>
      <w:pPr>
        <w:pStyle w:val="ListParagraph"/>
        <w:numPr>
          <w:ilvl w:val="0"/>
          <w:numId w:val="2"/>
        </w:numPr>
        <w:spacing w:after="70" w:line="280"/>
      </w:pPr>
      <w:r>
        <w:rPr>
          <w:rFonts w:ascii="Calibri" w:cs="Calibri" w:eastAsia="Calibri" w:hAnsi="Calibri"/>
          <w:color w:val="0E1A1C"/>
          <w:sz w:val="21"/>
          <w:szCs w:val="21"/>
        </w:rPr>
        <w:t xml:space="preserve">De biasvraag beantwoord: de 4,2 procent zonder e-mailadres ontbreekt en verschilt vrijwel zeker van de rest.</w:t>
      </w:r>
    </w:p>
    <w:p>
      <w:pPr>
        <w:pStyle w:val="ListParagraph"/>
        <w:numPr>
          <w:ilvl w:val="0"/>
          <w:numId w:val="2"/>
        </w:numPr>
        <w:spacing w:after="70" w:line="280"/>
      </w:pPr>
      <w:r>
        <w:rPr>
          <w:rFonts w:ascii="Calibri" w:cs="Calibri" w:eastAsia="Calibri" w:hAnsi="Calibri"/>
          <w:color w:val="0E1A1C"/>
          <w:sz w:val="21"/>
          <w:szCs w:val="21"/>
        </w:rPr>
        <w:t xml:space="preserve">Twee formuleringen die scherp verschillen, met het verschil in één zin benoemd.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Slechts twee van de vier verklaringen noemen; omgekeerde causaliteit en toeval worden het vaakst vergeten.</w:t>
      </w:r>
    </w:p>
    <w:p>
      <w:pPr>
        <w:pStyle w:val="ListParagraph"/>
        <w:numPr>
          <w:ilvl w:val="0"/>
          <w:numId w:val="2"/>
        </w:numPr>
        <w:spacing w:after="70" w:line="280"/>
      </w:pPr>
      <w:r>
        <w:rPr>
          <w:rFonts w:ascii="Calibri" w:cs="Calibri" w:eastAsia="Calibri" w:hAnsi="Calibri"/>
          <w:color w:val="0E1A1C"/>
          <w:sz w:val="21"/>
          <w:szCs w:val="21"/>
        </w:rPr>
        <w:t xml:space="preserve">Confounders noemen zonder het mechanisme. Waaróm beïnvloedt leeftijd beide?</w:t>
      </w:r>
    </w:p>
    <w:p>
      <w:pPr>
        <w:pStyle w:val="ListParagraph"/>
        <w:numPr>
          <w:ilvl w:val="0"/>
          <w:numId w:val="2"/>
        </w:numPr>
        <w:spacing w:after="70" w:line="280"/>
      </w:pPr>
      <w:r>
        <w:rPr>
          <w:rFonts w:ascii="Calibri" w:cs="Calibri" w:eastAsia="Calibri" w:hAnsi="Calibri"/>
          <w:color w:val="0E1A1C"/>
          <w:sz w:val="21"/>
          <w:szCs w:val="21"/>
        </w:rPr>
        <w:t xml:space="preserve">De biasvraag overslaan. Dat is de verborgen kern van de opdracht.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oorzakelijke uitspraak heb je zelf weleens gedaan die je met deze kennis zou terugnemen?</w:t>
            </w:r>
          </w:p>
        </w:tc>
      </w:tr>
    </w:tbl>
    <w:p>
      <w:pPr>
        <w:pStyle w:val="Heading2"/>
        <w:spacing w:after="140" w:before="340"/>
      </w:pPr>
      <w:r>
        <w:rPr>
          <w:rFonts w:ascii="Cambria" w:cs="Cambria" w:eastAsia="Cambria" w:hAnsi="Cambria"/>
          <w:b/>
          <w:bCs/>
          <w:color w:val="0E1A1C"/>
          <w:sz w:val="26"/>
          <w:szCs w:val="26"/>
        </w:rPr>
        <w:t xml:space="preserve">Opdracht 7 — Je analyse verantwoorden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vijf onderdelen aanwezig, binnen een halve pagina.</w:t>
      </w:r>
    </w:p>
    <w:p>
      <w:pPr>
        <w:pStyle w:val="ListParagraph"/>
        <w:numPr>
          <w:ilvl w:val="0"/>
          <w:numId w:val="2"/>
        </w:numPr>
        <w:spacing w:after="70" w:line="280"/>
      </w:pPr>
      <w:r>
        <w:rPr>
          <w:rFonts w:ascii="Calibri" w:cs="Calibri" w:eastAsia="Calibri" w:hAnsi="Calibri"/>
          <w:color w:val="0E1A1C"/>
          <w:sz w:val="21"/>
          <w:szCs w:val="21"/>
        </w:rPr>
        <w:t xml:space="preserve">Rijenaantallen per filter genoemd, zodat een lezer kan reconstrueren wat er is afgevallen.</w:t>
      </w:r>
    </w:p>
    <w:p>
      <w:pPr>
        <w:pStyle w:val="ListParagraph"/>
        <w:numPr>
          <w:ilvl w:val="0"/>
          <w:numId w:val="2"/>
        </w:numPr>
        <w:spacing w:after="70" w:line="280"/>
      </w:pPr>
      <w:r>
        <w:rPr>
          <w:rFonts w:ascii="Calibri" w:cs="Calibri" w:eastAsia="Calibri" w:hAnsi="Calibri"/>
          <w:color w:val="0E1A1C"/>
          <w:sz w:val="21"/>
          <w:szCs w:val="21"/>
        </w:rPr>
        <w:t xml:space="preserve">Een concrete zin over wat de analyse niet aantoont: welke groep ontbreekt, welke oorzaak niet is uitgesloten.</w:t>
      </w:r>
    </w:p>
    <w:p>
      <w:pPr>
        <w:pStyle w:val="ListParagraph"/>
        <w:numPr>
          <w:ilvl w:val="0"/>
          <w:numId w:val="2"/>
        </w:numPr>
        <w:spacing w:after="70" w:line="280"/>
      </w:pPr>
      <w:r>
        <w:rPr>
          <w:rFonts w:ascii="Calibri" w:cs="Calibri" w:eastAsia="Calibri" w:hAnsi="Calibri"/>
          <w:color w:val="0E1A1C"/>
          <w:sz w:val="21"/>
          <w:szCs w:val="21"/>
        </w:rPr>
        <w:t xml:space="preserve">Aangepast na de peer review, met zichtbaar wat er is veranderd.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zin over wat het niet aantoont algemeen houden: "er zitten beperkingen aan deze analyse". Laat specifiek maken.</w:t>
      </w:r>
    </w:p>
    <w:p>
      <w:pPr>
        <w:pStyle w:val="ListParagraph"/>
        <w:numPr>
          <w:ilvl w:val="0"/>
          <w:numId w:val="2"/>
        </w:numPr>
        <w:spacing w:after="70" w:line="280"/>
      </w:pPr>
      <w:r>
        <w:rPr>
          <w:rFonts w:ascii="Calibri" w:cs="Calibri" w:eastAsia="Calibri" w:hAnsi="Calibri"/>
          <w:color w:val="0E1A1C"/>
          <w:sz w:val="21"/>
          <w:szCs w:val="21"/>
        </w:rPr>
        <w:t xml:space="preserve">De peildatum weglaten. Dat is de eerste vraag die iemand over een half jaar stelt.</w:t>
      </w:r>
    </w:p>
    <w:p>
      <w:pPr>
        <w:pStyle w:val="ListParagraph"/>
        <w:numPr>
          <w:ilvl w:val="0"/>
          <w:numId w:val="2"/>
        </w:numPr>
        <w:spacing w:after="70" w:line="280"/>
      </w:pPr>
      <w:r>
        <w:rPr>
          <w:rFonts w:ascii="Calibri" w:cs="Calibri" w:eastAsia="Calibri" w:hAnsi="Calibri"/>
          <w:color w:val="0E1A1C"/>
          <w:sz w:val="21"/>
          <w:szCs w:val="21"/>
        </w:rPr>
        <w:t xml:space="preserve">De verantwoording langer maken dan de analyse zelf.</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aanname wees je reviewer aan, en had je die zelf gezien?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manager vraagt hoeveel deelnemers vorig kwartaal zijn uitgestroomd. Welk type analyse is dat, en welk type wil hij waarschijnlijk?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Beschrijvend gevraagd, diagnostisch bedoeld.</w:t>
      </w:r>
    </w:p>
    <w:p>
      <w:pPr>
        <w:spacing w:after="40" w:line="275"/>
        <w:ind w:left="420"/>
      </w:pPr>
      <w:r>
        <w:rPr>
          <w:rFonts w:ascii="Calibri" w:cs="Calibri" w:eastAsia="Calibri" w:hAnsi="Calibri"/>
          <w:color w:val="5F7375"/>
          <w:sz w:val="19"/>
          <w:szCs w:val="19"/>
        </w:rPr>
        <w:t xml:space="preserve">De letterlijke vraag is een telling; de onderliggende behoefte is de verklaring. Dat verschil vooraf benoemen voorkomt dat je een getal levert en een teleurstelling oogst.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kun je in WHERE niet filteren op een berekening die in SELECT staat?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de database WHERE uitvoert vóór SELECT.</w:t>
      </w:r>
    </w:p>
    <w:p>
      <w:pPr>
        <w:spacing w:after="40" w:line="275"/>
        <w:ind w:left="420"/>
      </w:pPr>
      <w:r>
        <w:rPr>
          <w:rFonts w:ascii="Calibri" w:cs="Calibri" w:eastAsia="Calibri" w:hAnsi="Calibri"/>
          <w:color w:val="5F7375"/>
          <w:sz w:val="19"/>
          <w:szCs w:val="19"/>
        </w:rPr>
        <w:t xml:space="preserve">De uitvoeringsvolgorde is FROM, JOIN, WHERE, GROUP BY, HAVING, SELECT, ORDER BY. Op het moment dat WHERE draait, bestaat de berekende kolom nog niet.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is het fundamentele verschil tussen WHERE en HAVING?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WHERE filtert rijen vóór het samenvatten, HAVING filtert groepen erna.</w:t>
      </w:r>
    </w:p>
    <w:p>
      <w:pPr>
        <w:spacing w:after="40" w:line="275"/>
        <w:ind w:left="420"/>
      </w:pPr>
      <w:r>
        <w:rPr>
          <w:rFonts w:ascii="Calibri" w:cs="Calibri" w:eastAsia="Calibri" w:hAnsi="Calibri"/>
          <w:color w:val="5F7375"/>
          <w:sz w:val="19"/>
          <w:szCs w:val="19"/>
        </w:rPr>
        <w:t xml:space="preserve">Het is geen stijlkwestie maar een volgordekwestie. Wie op een groepstelling wil filteren, heeft HAVING nodig omdat die telling pas na GROUP BY bestaat.</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340 deelnemers verwijzen naar een werkgever die na een fusie niet meer bestaat. Wat doet een inner join?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laat die 340 stilzwijgend vallen.</w:t>
      </w:r>
    </w:p>
    <w:p>
      <w:pPr>
        <w:spacing w:after="40" w:line="275"/>
        <w:ind w:left="420"/>
      </w:pPr>
      <w:r>
        <w:rPr>
          <w:rFonts w:ascii="Calibri" w:cs="Calibri" w:eastAsia="Calibri" w:hAnsi="Calibri"/>
          <w:color w:val="5F7375"/>
          <w:sz w:val="19"/>
          <w:szCs w:val="19"/>
        </w:rPr>
        <w:t xml:space="preserve">Er komt geen waarschuwing en het resultaat ziet er niet verdacht uit. Je rapporteert een aantal dat 340 te laag is. Tel daarom altijd je rijen voor en na de join.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Pensioenaanspraken zijn scheef verdeeld. Wat rapporteer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Mediaan én gemiddelde, met een toelichting op het verschil.</w:t>
      </w:r>
    </w:p>
    <w:p>
      <w:pPr>
        <w:spacing w:after="40" w:line="275"/>
        <w:ind w:left="420"/>
      </w:pPr>
      <w:r>
        <w:rPr>
          <w:rFonts w:ascii="Calibri" w:cs="Calibri" w:eastAsia="Calibri" w:hAnsi="Calibri"/>
          <w:color w:val="5F7375"/>
          <w:sz w:val="19"/>
          <w:szCs w:val="19"/>
        </w:rPr>
        <w:t xml:space="preserve">Het gemiddelde is technisch correct en schept een verkeerd beeld, omdat een kleine groep zeer hoge aanspraken het optrekt. Beide tonen en het verschil benoemen is het eerlijkst.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Wanneer verwijder je een uitbijter?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Als het aantoonbaar een invoerfout is — en dan documenteer je het.</w:t>
      </w:r>
    </w:p>
    <w:p>
      <w:pPr>
        <w:spacing w:after="40" w:line="275"/>
        <w:ind w:left="420"/>
      </w:pPr>
      <w:r>
        <w:rPr>
          <w:rFonts w:ascii="Calibri" w:cs="Calibri" w:eastAsia="Calibri" w:hAnsi="Calibri"/>
          <w:color w:val="5F7375"/>
          <w:sz w:val="19"/>
          <w:szCs w:val="19"/>
        </w:rPr>
        <w:t xml:space="preserve">Loop drie vragen langs: invoerfout, echte zeldzame waarneming, of andere populatie. Alleen de eerste rechtvaardigt verwijdering, en dan hoort er ook een kwaliteitsregel bij.</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een confounder?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derde variabele die beide gemeten grootheden beïnvloedt en zo schijnbare samenhang veroorzaakt.</w:t>
      </w:r>
    </w:p>
    <w:p>
      <w:pPr>
        <w:spacing w:after="40" w:line="275"/>
        <w:ind w:left="420"/>
      </w:pPr>
      <w:r>
        <w:rPr>
          <w:rFonts w:ascii="Calibri" w:cs="Calibri" w:eastAsia="Calibri" w:hAnsi="Calibri"/>
          <w:color w:val="5F7375"/>
          <w:sz w:val="19"/>
          <w:szCs w:val="19"/>
        </w:rPr>
        <w:t xml:space="preserve">Leeftijd en inkomen verklaren zowel portaalgebruik als bijstorting. Kun je zo'n derde factor bedenken, dan mag je geen oorzakelijke uitspraak doen.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Meridiaan meet tevredenheid onder deelnemers die nog klant zijn. Welke bias is dit?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Overlevingsbias</w:t>
      </w:r>
    </w:p>
    <w:p>
      <w:pPr>
        <w:spacing w:after="40" w:line="275"/>
        <w:ind w:left="420"/>
      </w:pPr>
      <w:r>
        <w:rPr>
          <w:rFonts w:ascii="Calibri" w:cs="Calibri" w:eastAsia="Calibri" w:hAnsi="Calibri"/>
          <w:color w:val="5F7375"/>
          <w:sz w:val="19"/>
          <w:szCs w:val="19"/>
        </w:rPr>
        <w:t xml:space="preserve">Wie ontevreden was en vertrok, telt niet meer mee. De meting overschat daardoor systematisch de tevredenheid — en dat effect is groter naarmate meer mensen vertrokken.</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Waarom is "welke uitkomst zou uw besluit veranderen?" de belangrijkste vraag vooraf?</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je zo ontdekt of de analyse überhaupt tot een ander besluit kan leiden.</w:t>
      </w:r>
    </w:p>
    <w:p>
      <w:pPr>
        <w:spacing w:after="40" w:line="275"/>
        <w:ind w:left="420"/>
      </w:pPr>
      <w:r>
        <w:rPr>
          <w:rFonts w:ascii="Calibri" w:cs="Calibri" w:eastAsia="Calibri" w:hAnsi="Calibri"/>
          <w:color w:val="5F7375"/>
          <w:sz w:val="19"/>
          <w:szCs w:val="19"/>
        </w:rPr>
        <w:t xml:space="preserve">Leidt elk denkbaar antwoord tot hetzelfde besluit, dan hoeft de analyse niet. Vaak blijkt ook dat het besluit al genomen is — nuttig om vooraf te weten.</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hoort er in de verantwoording bij een analyse dat het minst gebruikelijk is?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Wat de analyse níét aantoont.</w:t>
      </w:r>
    </w:p>
    <w:p>
      <w:pPr>
        <w:spacing w:after="40" w:line="275"/>
        <w:ind w:left="420"/>
      </w:pPr>
      <w:r>
        <w:rPr>
          <w:rFonts w:ascii="Calibri" w:cs="Calibri" w:eastAsia="Calibri" w:hAnsi="Calibri"/>
          <w:color w:val="5F7375"/>
          <w:sz w:val="19"/>
          <w:szCs w:val="19"/>
        </w:rPr>
        <w:t xml:space="preserve">Eén concrete zin volstaat: welke groep ontbreekt, of welke oorzaak niet is uitgesloten. Dat beschermt je wanneer iemand er over een half jaar op terugkomt.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betekent "gemiddeld 34 dagen" zonder spreidingsmaat?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Weinig — het is een half antwoord, want de spreiding kan twee dagen of veertig zijn.</w:t>
      </w:r>
    </w:p>
    <w:p>
      <w:pPr>
        <w:spacing w:after="40" w:line="275"/>
        <w:ind w:left="420"/>
      </w:pPr>
      <w:r>
        <w:rPr>
          <w:rFonts w:ascii="Calibri" w:cs="Calibri" w:eastAsia="Calibri" w:hAnsi="Calibri"/>
          <w:color w:val="5F7375"/>
          <w:sz w:val="19"/>
          <w:szCs w:val="19"/>
        </w:rPr>
        <w:t xml:space="preserve">Een centrummaat zonder spreiding laat de belangrijkste vraag open: hoe verschillend zijn de gevallen? Kwartielen of standaarddeviatie horen erbij.</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Bij Meridiaan heeft 4,2 procent geen e-mailadres. Wat betekent dat voor een digitale enquête?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Die groep ontbreekt systematisch, en het is bijna zeker geen willekeurige 4,2 procent.</w:t>
      </w:r>
    </w:p>
    <w:p>
      <w:pPr>
        <w:spacing w:after="40" w:line="275"/>
        <w:ind w:left="420"/>
      </w:pPr>
      <w:r>
        <w:rPr>
          <w:rFonts w:ascii="Calibri" w:cs="Calibri" w:eastAsia="Calibri" w:hAnsi="Calibri"/>
          <w:color w:val="5F7375"/>
          <w:sz w:val="19"/>
          <w:szCs w:val="19"/>
        </w:rPr>
        <w:t xml:space="preserve">De vraag is niet hoe groot de ontbrekende groep is maar of hij verschilt van de rest. Wie geen e-mailadres heeft, wijkt vrijwel zeker af in leeftijd, digitale vaardigheid of betrokkenheid.</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analist die niets concludeert nuttiger of nuttelozer dan een die overclaimt?</w:t>
      </w:r>
    </w:p>
    <w:p>
      <w:pPr>
        <w:pStyle w:val="ListParagraph"/>
        <w:numPr>
          <w:ilvl w:val="0"/>
          <w:numId w:val="3"/>
        </w:numPr>
        <w:spacing w:after="70" w:line="280"/>
      </w:pPr>
      <w:r>
        <w:rPr>
          <w:rFonts w:ascii="Calibri" w:cs="Calibri" w:eastAsia="Calibri" w:hAnsi="Calibri"/>
          <w:color w:val="0E1A1C"/>
          <w:sz w:val="21"/>
          <w:szCs w:val="21"/>
        </w:rPr>
        <w:t xml:space="preserve">Wie is verantwoordelijk als een besluit wordt genomen op een analyse waarvan de beperkingen wel vermeld maar niet gelezen zijn?</w:t>
      </w:r>
    </w:p>
    <w:p>
      <w:pPr>
        <w:pStyle w:val="ListParagraph"/>
        <w:numPr>
          <w:ilvl w:val="0"/>
          <w:numId w:val="3"/>
        </w:numPr>
        <w:spacing w:after="70" w:line="280"/>
      </w:pPr>
      <w:r>
        <w:rPr>
          <w:rFonts w:ascii="Calibri" w:cs="Calibri" w:eastAsia="Calibri" w:hAnsi="Calibri"/>
          <w:color w:val="0E1A1C"/>
          <w:sz w:val="21"/>
          <w:szCs w:val="21"/>
        </w:rPr>
        <w:t xml:space="preserve">Hoort een analist te weigeren als de vraag zo is gesteld dat er maar één antwoord uit kan komen?</w:t>
      </w:r>
    </w:p>
    <w:p>
      <w:pPr>
        <w:pStyle w:val="ListParagraph"/>
        <w:numPr>
          <w:ilvl w:val="0"/>
          <w:numId w:val="3"/>
        </w:numPr>
        <w:spacing w:after="70" w:line="280"/>
      </w:pPr>
      <w:r>
        <w:rPr>
          <w:rFonts w:ascii="Calibri" w:cs="Calibri" w:eastAsia="Calibri" w:hAnsi="Calibri"/>
          <w:color w:val="0E1A1C"/>
          <w:sz w:val="21"/>
          <w:szCs w:val="21"/>
        </w:rPr>
        <w:t xml:space="preserve">Kunnen we ooit iets over oorzaak zeggen zonder experiment? Wat komt er in deel 28 bij?</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twee queries herschrijven met window functions als opstap naar deel 18.</w:t>
      </w:r>
    </w:p>
    <w:p>
      <w:pPr>
        <w:pStyle w:val="ListParagraph"/>
        <w:numPr>
          <w:ilvl w:val="0"/>
          <w:numId w:val="2"/>
        </w:numPr>
        <w:spacing w:after="70" w:line="280"/>
      </w:pPr>
      <w:r>
        <w:rPr>
          <w:rFonts w:ascii="Calibri" w:cs="Calibri" w:eastAsia="Calibri" w:hAnsi="Calibri"/>
          <w:color w:val="0E1A1C"/>
          <w:sz w:val="21"/>
          <w:szCs w:val="21"/>
        </w:rPr>
        <w:t xml:space="preserve">Vraag om bij opdracht 5 de verdeling ook te visualiseren en te beoordelen welke grafiek het verschil het eerlijkst toont.</w:t>
      </w:r>
    </w:p>
    <w:p>
      <w:pPr>
        <w:pStyle w:val="ListParagraph"/>
        <w:numPr>
          <w:ilvl w:val="0"/>
          <w:numId w:val="2"/>
        </w:numPr>
        <w:spacing w:after="70" w:line="280"/>
      </w:pPr>
      <w:r>
        <w:rPr>
          <w:rFonts w:ascii="Calibri" w:cs="Calibri" w:eastAsia="Calibri" w:hAnsi="Calibri"/>
          <w:color w:val="0E1A1C"/>
          <w:sz w:val="21"/>
          <w:szCs w:val="21"/>
        </w:rPr>
        <w:t xml:space="preserve">Laat bij opdracht 6 een concrete onderzoeksopzet uitwerken die de confounders zou uitsluiten.</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3 de eerste twee queries volledig; de overige zes zijn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5 tot gemiddelde en mediaan, zonder kwartielen.</w:t>
      </w:r>
    </w:p>
    <w:p>
      <w:pPr>
        <w:pStyle w:val="ListParagraph"/>
        <w:numPr>
          <w:ilvl w:val="0"/>
          <w:numId w:val="2"/>
        </w:numPr>
        <w:spacing w:after="70" w:line="280"/>
      </w:pPr>
      <w:r>
        <w:rPr>
          <w:rFonts w:ascii="Calibri" w:cs="Calibri" w:eastAsia="Calibri" w:hAnsi="Calibri"/>
          <w:color w:val="0E1A1C"/>
          <w:sz w:val="21"/>
          <w:szCs w:val="21"/>
        </w:rPr>
        <w:t xml:space="preserve">Laat opdracht 6 in viertallen doen en plenair terugkoppelen.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SQL uit mijn hoofd kennen voor het 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examen toetst begrip van analysetypen en van de rol van analyse binnen datamanagement, niet je syntaxis. SQL is hier praktijkgereedschap.</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Python niet handiger dan SQL?"</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 veel analyses wel, maar SQL is waar de data staat en waar je collega's meekijken. Begin daar.</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 Ook voor PL-300 geldt dat.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nooit meer oorzaak zeggen?"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 maar alleen met een opzet die alternatieve verklaringen uitsluit. Deel 18 en 28 laten zien hoe dat kan.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statistiek komt er nog?"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deel 18 significantie, betrouwbaarheidsintervallen en experimenten; in deel 28 causale inferentie. Dit deel is de basis.</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5 — Fundamenten van data-analyse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Fundamenten van data-analyse — Docentenhandleiding</dc:title>
  <dc:creator>Ductus B.V.</dc:creator>
  <dc:description>Cursusmateriaal datamanagement, data-analyse en data governance</dc:description>
  <cp:lastModifiedBy>Un-named</cp:lastModifiedBy>
  <cp:revision>1</cp:revision>
  <dcterms:created xsi:type="dcterms:W3CDTF">2026-08-05T10:35:01.397Z</dcterms:created>
  <dcterms:modified xsi:type="dcterms:W3CDTF">2026-08-05T10:35:01.397Z</dcterms:modified>
</cp:coreProperties>
</file>

<file path=docProps/custom.xml><?xml version="1.0" encoding="utf-8"?>
<Properties xmlns="http://schemas.openxmlformats.org/officeDocument/2006/custom-properties" xmlns:vt="http://schemas.openxmlformats.org/officeDocument/2006/docPropsVTypes"/>
</file>