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5</w:t>
      </w:r>
    </w:p>
    <w:p>
      <w:pPr>
        <w:spacing w:after="120"/>
      </w:pPr>
      <w:r>
        <w:rPr>
          <w:rFonts w:ascii="Cambria" w:cs="Cambria" w:eastAsia="Cambria" w:hAnsi="Cambria"/>
          <w:b/>
          <w:bCs/>
          <w:color w:val="0E1A1C"/>
          <w:sz w:val="56"/>
          <w:szCs w:val="56"/>
        </w:rPr>
        <w:t xml:space="preserve">Fundamenten van data-analyse</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6 uur (4 uur klassikaal, 2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Laptop met toegang tot de oefendatabase, en je eigen DMBOK2</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Opdracht 1 en 2 maak je vóór de klassikale sessie. Opdracht 3 tot en met 6 doen we klassikaal achter de laptop; zorg dat je toegang tot de oefendatabase werkt vóór de sessie begint — testen kost tien minuten en scheelt een uur.</w:t>
      </w:r>
    </w:p>
    <w:p>
      <w:pPr>
        <w:spacing w:after="140" w:line="288"/>
      </w:pPr>
      <w:r>
        <w:rPr>
          <w:rFonts w:ascii="Calibri" w:cs="Calibri" w:eastAsia="Calibri" w:hAnsi="Calibri"/>
          <w:color w:val="0E1A1C"/>
          <w:sz w:val="21"/>
          <w:szCs w:val="21"/>
        </w:rPr>
        <w:t xml:space="preserve">Opdracht 7 rond je zelfstandig af, samen met de zelftoets. Die opdracht is de belangrijkste van dit deel: het schrijven van de verantwoording bij je eigen analyse.</w:t>
      </w:r>
    </w:p>
    <w:p>
      <w:pPr>
        <w:spacing w:after="140" w:line="288"/>
      </w:pPr>
      <w:r>
        <w:rPr>
          <w:rFonts w:ascii="Calibri" w:cs="Calibri" w:eastAsia="Calibri" w:hAnsi="Calibri"/>
          <w:color w:val="0E1A1C"/>
          <w:sz w:val="21"/>
          <w:szCs w:val="21"/>
        </w:rPr>
        <w:t xml:space="preserve">De oefendatabase bevat een vereenvoudigd schema van Meridiaan met de tabellen deelnemer, werkgever, regeling, deelname en premiebetaling. Het geprinte schema krijg je bij aanvang.</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Analysetype bepalen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Vraag aanscherpen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SQL — acht vragen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De join die records weggooit</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Gemiddelde of mediaan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Correlatie en confounder</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Je analyse verantwoorden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25 minuten</w:t>
      </w:r>
    </w:p>
    <w:p>
      <w:pPr>
        <w:spacing w:after="140"/>
      </w:pPr>
      <w:r>
        <w:rPr>
          <w:rFonts w:ascii="Cambria" w:cs="Cambria" w:eastAsia="Cambria" w:hAnsi="Cambria"/>
          <w:b/>
          <w:bCs/>
          <w:color w:val="1B4A48"/>
          <w:sz w:val="30"/>
          <w:szCs w:val="30"/>
        </w:rPr>
        <w:t xml:space="preserve">Analysetype bepalen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Onderscheiden welk type analyse een vraag vraagt — en welk type de vraagsteller eigenlijk wil.</w:t>
      </w:r>
    </w:p>
    <w:p>
      <w:pPr>
        <w:pStyle w:val="ListParagraph"/>
        <w:numPr>
          <w:ilvl w:val="0"/>
          <w:numId w:val="2"/>
        </w:numPr>
        <w:spacing w:after="70" w:line="280"/>
      </w:pPr>
      <w:r>
        <w:rPr>
          <w:rFonts w:ascii="Calibri" w:cs="Calibri" w:eastAsia="Calibri" w:hAnsi="Calibri"/>
          <w:color w:val="0E1A1C"/>
          <w:sz w:val="21"/>
          <w:szCs w:val="21"/>
        </w:rPr>
        <w:t xml:space="preserve">Bepaal het analysetype bij elke vraag: (a) hoeveel deelnemers stroomden vorig kwartaal uit, (b) waarom stroomden er meer uit dan het kwartaal ervoor, (c) hoeveel uitstroom verwachten we volgend jaar, (d) welke deelnemers benaderen we het eerst met een retentieactie, (e) wat is de gemiddelde premie per werkgever, (f) verklaart bedrijfsgrootte het verschil in premieachterstand, (g) welke werkgevers lopen risico op betalingsproblemen, (h) hoeveel deelnemers hebben geen e-mailadres.</w:t>
      </w:r>
    </w:p>
    <w:p>
      <w:pPr>
        <w:pStyle w:val="ListParagraph"/>
        <w:numPr>
          <w:ilvl w:val="0"/>
          <w:numId w:val="2"/>
        </w:numPr>
        <w:spacing w:after="70" w:line="280"/>
      </w:pPr>
      <w:r>
        <w:rPr>
          <w:rFonts w:ascii="Calibri" w:cs="Calibri" w:eastAsia="Calibri" w:hAnsi="Calibri"/>
          <w:color w:val="0E1A1C"/>
          <w:sz w:val="21"/>
          <w:szCs w:val="21"/>
        </w:rPr>
        <w:t xml:space="preserve">Markeer de vragen waarbij de vraagsteller waarschijnlijk een ander type antwoord verwacht dan er letterlijk staat.</w:t>
      </w:r>
    </w:p>
    <w:p>
      <w:pPr>
        <w:pStyle w:val="ListParagraph"/>
        <w:numPr>
          <w:ilvl w:val="0"/>
          <w:numId w:val="2"/>
        </w:numPr>
        <w:spacing w:after="70" w:line="280"/>
      </w:pPr>
      <w:r>
        <w:rPr>
          <w:rFonts w:ascii="Calibri" w:cs="Calibri" w:eastAsia="Calibri" w:hAnsi="Calibri"/>
          <w:color w:val="0E1A1C"/>
          <w:sz w:val="21"/>
          <w:szCs w:val="21"/>
        </w:rPr>
        <w:t xml:space="preserve">Noteer bij twee vragen welke techniek je zou gebruiken.</w:t>
      </w:r>
    </w:p>
    <w:p>
      <w:pPr>
        <w:pStyle w:val="ListParagraph"/>
        <w:numPr>
          <w:ilvl w:val="0"/>
          <w:numId w:val="2"/>
        </w:numPr>
        <w:spacing w:after="70" w:line="280"/>
      </w:pPr>
      <w:r>
        <w:rPr>
          <w:rFonts w:ascii="Calibri" w:cs="Calibri" w:eastAsia="Calibri" w:hAnsi="Calibri"/>
          <w:color w:val="0E1A1C"/>
          <w:sz w:val="21"/>
          <w:szCs w:val="21"/>
        </w:rPr>
        <w:t xml:space="preserve">Formuleer één vraag uit je eigen praktijk en bepaal het type.</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Acht ingedeelde vragen, markeringen, twee technieken en één eigen vraag.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Vraag (a) is beschrijvend maar de manager wil bijna zeker weten waarom. Dat verschil vooraf benoemen voorkomt een teleurstellende oplevering.</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30 minuten</w:t>
      </w:r>
    </w:p>
    <w:p>
      <w:pPr>
        <w:spacing w:after="140"/>
      </w:pPr>
      <w:r>
        <w:rPr>
          <w:rFonts w:ascii="Cambria" w:cs="Cambria" w:eastAsia="Cambria" w:hAnsi="Cambria"/>
          <w:b/>
          <w:bCs/>
          <w:color w:val="1B4A48"/>
          <w:sz w:val="30"/>
          <w:szCs w:val="30"/>
        </w:rPr>
        <w:t xml:space="preserve">Vraag aanscherpen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Van een vage opdracht naar iets toetsbaars komen, vóórdat je data aanraakt.</w:t>
      </w:r>
    </w:p>
    <w:p>
      <w:pPr>
        <w:pStyle w:val="ListParagraph"/>
        <w:numPr>
          <w:ilvl w:val="0"/>
          <w:numId w:val="2"/>
        </w:numPr>
        <w:spacing w:after="70" w:line="280"/>
      </w:pPr>
      <w:r>
        <w:rPr>
          <w:rFonts w:ascii="Calibri" w:cs="Calibri" w:eastAsia="Calibri" w:hAnsi="Calibri"/>
          <w:color w:val="0E1A1C"/>
          <w:sz w:val="21"/>
          <w:szCs w:val="21"/>
        </w:rPr>
        <w:t xml:space="preserve">Neem deze drie opdrachten zoals ze binnenkomen: (a) "kijk eens naar de uitstroom", (b) "ik wil inzicht in onze werkgevers", (c) "klopt het dat het portaal werkt?"</w:t>
      </w:r>
    </w:p>
    <w:p>
      <w:pPr>
        <w:pStyle w:val="ListParagraph"/>
        <w:numPr>
          <w:ilvl w:val="0"/>
          <w:numId w:val="2"/>
        </w:numPr>
        <w:spacing w:after="70" w:line="280"/>
      </w:pPr>
      <w:r>
        <w:rPr>
          <w:rFonts w:ascii="Calibri" w:cs="Calibri" w:eastAsia="Calibri" w:hAnsi="Calibri"/>
          <w:color w:val="0E1A1C"/>
          <w:sz w:val="21"/>
          <w:szCs w:val="21"/>
        </w:rPr>
        <w:t xml:space="preserve">Stel per opdracht de vier vragen uit hoofdstuk 3 van de reader en beantwoord ze zo goed mogelijk, of noteer dat je het moet navragen.</w:t>
      </w:r>
    </w:p>
    <w:p>
      <w:pPr>
        <w:pStyle w:val="ListParagraph"/>
        <w:numPr>
          <w:ilvl w:val="0"/>
          <w:numId w:val="2"/>
        </w:numPr>
        <w:spacing w:after="70" w:line="280"/>
      </w:pPr>
      <w:r>
        <w:rPr>
          <w:rFonts w:ascii="Calibri" w:cs="Calibri" w:eastAsia="Calibri" w:hAnsi="Calibri"/>
          <w:color w:val="0E1A1C"/>
          <w:sz w:val="21"/>
          <w:szCs w:val="21"/>
        </w:rPr>
        <w:t xml:space="preserve">Herformuleer elke opdracht tot een toetsbare vraag met een afbakening in tijd, populatie en maat.</w:t>
      </w:r>
    </w:p>
    <w:p>
      <w:pPr>
        <w:pStyle w:val="ListParagraph"/>
        <w:numPr>
          <w:ilvl w:val="0"/>
          <w:numId w:val="2"/>
        </w:numPr>
        <w:spacing w:after="70" w:line="280"/>
      </w:pPr>
      <w:r>
        <w:rPr>
          <w:rFonts w:ascii="Calibri" w:cs="Calibri" w:eastAsia="Calibri" w:hAnsi="Calibri"/>
          <w:color w:val="0E1A1C"/>
          <w:sz w:val="21"/>
          <w:szCs w:val="21"/>
        </w:rPr>
        <w:t xml:space="preserve">Bepaal bij elke vraag welke uitkomst tot een ander besluit zou leiden.</w:t>
      </w:r>
    </w:p>
    <w:p>
      <w:pPr>
        <w:pStyle w:val="ListParagraph"/>
        <w:numPr>
          <w:ilvl w:val="0"/>
          <w:numId w:val="2"/>
        </w:numPr>
        <w:spacing w:after="70" w:line="280"/>
      </w:pPr>
      <w:r>
        <w:rPr>
          <w:rFonts w:ascii="Calibri" w:cs="Calibri" w:eastAsia="Calibri" w:hAnsi="Calibri"/>
          <w:color w:val="0E1A1C"/>
          <w:sz w:val="21"/>
          <w:szCs w:val="21"/>
        </w:rPr>
        <w:t xml:space="preserve">Markeer welke van de drie waarschijnlijk geen analyse nodig heeft, en waarom.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herschreven vragen met afbakening, plus de beslissingsrelevantie per vraag.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Opdracht (c) is de interessantste. "Werkt het portaal" kan drie totaal verschillende dingen betekenen. Vraag door voordat je begint.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70 minuten</w:t>
      </w:r>
    </w:p>
    <w:p>
      <w:pPr>
        <w:spacing w:after="140"/>
      </w:pPr>
      <w:r>
        <w:rPr>
          <w:rFonts w:ascii="Cambria" w:cs="Cambria" w:eastAsia="Cambria" w:hAnsi="Cambria"/>
          <w:b/>
          <w:bCs/>
          <w:color w:val="1B4A48"/>
          <w:sz w:val="30"/>
          <w:szCs w:val="30"/>
        </w:rPr>
        <w:t xml:space="preserve">SQL — acht vragen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zes bouwstenen toepassen op een echt schema en de volgorde van uitvoering doorgronden.</w:t>
      </w:r>
    </w:p>
    <w:p>
      <w:pPr>
        <w:pStyle w:val="ListParagraph"/>
        <w:numPr>
          <w:ilvl w:val="0"/>
          <w:numId w:val="2"/>
        </w:numPr>
        <w:spacing w:after="70" w:line="280"/>
      </w:pPr>
      <w:r>
        <w:rPr>
          <w:rFonts w:ascii="Calibri" w:cs="Calibri" w:eastAsia="Calibri" w:hAnsi="Calibri"/>
          <w:color w:val="0E1A1C"/>
          <w:sz w:val="21"/>
          <w:szCs w:val="21"/>
        </w:rPr>
        <w:t xml:space="preserve">Beantwoord met SQL op de oefendatabase: (a) hoeveel deelnemers per status, (b) de tien werkgevers met de meeste deelnemers, (c) de totale premie per regeling in het laatste jaar, (d) werkgevers met meer dan vijftig actieve deelnemers, (e) deelnemers zonder e-mailadres per werkgever, (f) de gemiddelde premie per deelnemer per regeling, (g) regelingen waarin de gemiddelde premie boven een door jou gekozen drempel ligt, (h) deelnemers met meer dan één actieve deelname.</w:t>
      </w:r>
    </w:p>
    <w:p>
      <w:pPr>
        <w:pStyle w:val="ListParagraph"/>
        <w:numPr>
          <w:ilvl w:val="0"/>
          <w:numId w:val="2"/>
        </w:numPr>
        <w:spacing w:after="70" w:line="280"/>
      </w:pPr>
      <w:r>
        <w:rPr>
          <w:rFonts w:ascii="Calibri" w:cs="Calibri" w:eastAsia="Calibri" w:hAnsi="Calibri"/>
          <w:color w:val="0E1A1C"/>
          <w:sz w:val="21"/>
          <w:szCs w:val="21"/>
        </w:rPr>
        <w:t xml:space="preserve">Noteer bij vraag (d) en (g) waarom je HAVING gebruikt en niet WHERE.</w:t>
      </w:r>
    </w:p>
    <w:p>
      <w:pPr>
        <w:pStyle w:val="ListParagraph"/>
        <w:numPr>
          <w:ilvl w:val="0"/>
          <w:numId w:val="2"/>
        </w:numPr>
        <w:spacing w:after="70" w:line="280"/>
      </w:pPr>
      <w:r>
        <w:rPr>
          <w:rFonts w:ascii="Calibri" w:cs="Calibri" w:eastAsia="Calibri" w:hAnsi="Calibri"/>
          <w:color w:val="0E1A1C"/>
          <w:sz w:val="21"/>
          <w:szCs w:val="21"/>
        </w:rPr>
        <w:t xml:space="preserve">Probeer bewust één query waarin je in WHERE filtert op een berekening uit SELECT, en noteer de foutmelding.</w:t>
      </w:r>
    </w:p>
    <w:p>
      <w:pPr>
        <w:pStyle w:val="ListParagraph"/>
        <w:numPr>
          <w:ilvl w:val="0"/>
          <w:numId w:val="2"/>
        </w:numPr>
        <w:spacing w:after="70" w:line="280"/>
      </w:pPr>
      <w:r>
        <w:rPr>
          <w:rFonts w:ascii="Calibri" w:cs="Calibri" w:eastAsia="Calibri" w:hAnsi="Calibri"/>
          <w:color w:val="0E1A1C"/>
          <w:sz w:val="21"/>
          <w:szCs w:val="21"/>
        </w:rPr>
        <w:t xml:space="preserve">Verklaar die foutmelding met de volgorde van uitvoering.</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Acht werkende queries, twee toelichtingen bij HAVING en één verklaarde foutmelding.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Vraag (h) is de lastigste. Denk aan de koppelentiteit Deelname uit deel 2 — daar zit het antwoord, niet in de deelnemertabel.</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35 minuten</w:t>
      </w:r>
    </w:p>
    <w:p>
      <w:pPr>
        <w:spacing w:after="140"/>
      </w:pPr>
      <w:r>
        <w:rPr>
          <w:rFonts w:ascii="Cambria" w:cs="Cambria" w:eastAsia="Cambria" w:hAnsi="Cambria"/>
          <w:b/>
          <w:bCs/>
          <w:color w:val="1B4A48"/>
          <w:sz w:val="30"/>
          <w:szCs w:val="30"/>
        </w:rPr>
        <w:t xml:space="preserve">De join die records weggooit</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Ontdekken hoeveel rijen een inner join stilzwijgend laat vallen, en dat structureel controleren.</w:t>
      </w:r>
    </w:p>
    <w:p>
      <w:pPr>
        <w:pStyle w:val="ListParagraph"/>
        <w:numPr>
          <w:ilvl w:val="0"/>
          <w:numId w:val="2"/>
        </w:numPr>
        <w:spacing w:after="70" w:line="280"/>
      </w:pPr>
      <w:r>
        <w:rPr>
          <w:rFonts w:ascii="Calibri" w:cs="Calibri" w:eastAsia="Calibri" w:hAnsi="Calibri"/>
          <w:color w:val="0E1A1C"/>
          <w:sz w:val="21"/>
          <w:szCs w:val="21"/>
        </w:rPr>
        <w:t xml:space="preserve">Tel het aantal rijen in de tabel deelnemer.</w:t>
      </w:r>
    </w:p>
    <w:p>
      <w:pPr>
        <w:pStyle w:val="ListParagraph"/>
        <w:numPr>
          <w:ilvl w:val="0"/>
          <w:numId w:val="2"/>
        </w:numPr>
        <w:spacing w:after="70" w:line="280"/>
      </w:pPr>
      <w:r>
        <w:rPr>
          <w:rFonts w:ascii="Calibri" w:cs="Calibri" w:eastAsia="Calibri" w:hAnsi="Calibri"/>
          <w:color w:val="0E1A1C"/>
          <w:sz w:val="21"/>
          <w:szCs w:val="21"/>
        </w:rPr>
        <w:t xml:space="preserve">Schrijf een inner join tussen deelnemer en werkgever en tel het resultaat.</w:t>
      </w:r>
    </w:p>
    <w:p>
      <w:pPr>
        <w:pStyle w:val="ListParagraph"/>
        <w:numPr>
          <w:ilvl w:val="0"/>
          <w:numId w:val="2"/>
        </w:numPr>
        <w:spacing w:after="70" w:line="280"/>
      </w:pPr>
      <w:r>
        <w:rPr>
          <w:rFonts w:ascii="Calibri" w:cs="Calibri" w:eastAsia="Calibri" w:hAnsi="Calibri"/>
          <w:color w:val="0E1A1C"/>
          <w:sz w:val="21"/>
          <w:szCs w:val="21"/>
        </w:rPr>
        <w:t xml:space="preserve">Verklaar het verschil en zoek uit welke deelnemers zijn weggevallen.</w:t>
      </w:r>
    </w:p>
    <w:p>
      <w:pPr>
        <w:pStyle w:val="ListParagraph"/>
        <w:numPr>
          <w:ilvl w:val="0"/>
          <w:numId w:val="2"/>
        </w:numPr>
        <w:spacing w:after="70" w:line="280"/>
      </w:pPr>
      <w:r>
        <w:rPr>
          <w:rFonts w:ascii="Calibri" w:cs="Calibri" w:eastAsia="Calibri" w:hAnsi="Calibri"/>
          <w:color w:val="0E1A1C"/>
          <w:sz w:val="21"/>
          <w:szCs w:val="21"/>
        </w:rPr>
        <w:t xml:space="preserve">Schrijf dezelfde query met een left join en laat zien welke werkgeververwijzingen nergens heen gaan.</w:t>
      </w:r>
    </w:p>
    <w:p>
      <w:pPr>
        <w:pStyle w:val="ListParagraph"/>
        <w:numPr>
          <w:ilvl w:val="0"/>
          <w:numId w:val="2"/>
        </w:numPr>
        <w:spacing w:after="70" w:line="280"/>
      </w:pPr>
      <w:r>
        <w:rPr>
          <w:rFonts w:ascii="Calibri" w:cs="Calibri" w:eastAsia="Calibri" w:hAnsi="Calibri"/>
          <w:color w:val="0E1A1C"/>
          <w:sz w:val="21"/>
          <w:szCs w:val="21"/>
        </w:rPr>
        <w:t xml:space="preserve">Beschrijf welk effect dit heeft op een rapportage over deelnemersaantallen, en koppel het aan het verschil tussen de drie aantallen uit deel 3.</w:t>
      </w:r>
    </w:p>
    <w:p>
      <w:pPr>
        <w:pStyle w:val="ListParagraph"/>
        <w:numPr>
          <w:ilvl w:val="0"/>
          <w:numId w:val="2"/>
        </w:numPr>
        <w:spacing w:after="70" w:line="280"/>
      </w:pPr>
      <w:r>
        <w:rPr>
          <w:rFonts w:ascii="Calibri" w:cs="Calibri" w:eastAsia="Calibri" w:hAnsi="Calibri"/>
          <w:color w:val="0E1A1C"/>
          <w:sz w:val="21"/>
          <w:szCs w:val="21"/>
        </w:rPr>
        <w:t xml:space="preserve">Formuleer de controle die je voortaan standaard uitvoert.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Twee queries, het verklaarde verschil, en één standaardcontrole in je eigen woorden.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Er zijn 340 deelnemers gekoppeld aan een werkgever die na een fusie niet meer bestaat. Niets in het resultaat wijst daarop — dat is precies het probleem.</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40 minuten</w:t>
      </w:r>
    </w:p>
    <w:p>
      <w:pPr>
        <w:spacing w:after="140"/>
      </w:pPr>
      <w:r>
        <w:rPr>
          <w:rFonts w:ascii="Cambria" w:cs="Cambria" w:eastAsia="Cambria" w:hAnsi="Cambria"/>
          <w:b/>
          <w:bCs/>
          <w:color w:val="1B4A48"/>
          <w:sz w:val="30"/>
          <w:szCs w:val="30"/>
        </w:rPr>
        <w:t xml:space="preserve">Gemiddelde of mediaan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Ervaren hoe dezelfde data twee verschillende verhalen oplevert, en de keuze kunnen verdedigen.</w:t>
      </w:r>
    </w:p>
    <w:p>
      <w:pPr>
        <w:pStyle w:val="ListParagraph"/>
        <w:numPr>
          <w:ilvl w:val="0"/>
          <w:numId w:val="2"/>
        </w:numPr>
        <w:spacing w:after="70" w:line="280"/>
      </w:pPr>
      <w:r>
        <w:rPr>
          <w:rFonts w:ascii="Calibri" w:cs="Calibri" w:eastAsia="Calibri" w:hAnsi="Calibri"/>
          <w:color w:val="0E1A1C"/>
          <w:sz w:val="21"/>
          <w:szCs w:val="21"/>
        </w:rPr>
        <w:t xml:space="preserve">Bereken voor de opgebouwde aanspraken zowel het gemiddelde als de mediaan.</w:t>
      </w:r>
    </w:p>
    <w:p>
      <w:pPr>
        <w:pStyle w:val="ListParagraph"/>
        <w:numPr>
          <w:ilvl w:val="0"/>
          <w:numId w:val="2"/>
        </w:numPr>
        <w:spacing w:after="70" w:line="280"/>
      </w:pPr>
      <w:r>
        <w:rPr>
          <w:rFonts w:ascii="Calibri" w:cs="Calibri" w:eastAsia="Calibri" w:hAnsi="Calibri"/>
          <w:color w:val="0E1A1C"/>
          <w:sz w:val="21"/>
          <w:szCs w:val="21"/>
        </w:rPr>
        <w:t xml:space="preserve">Bereken ook de kwartielen en het interkwartielbereik.</w:t>
      </w:r>
    </w:p>
    <w:p>
      <w:pPr>
        <w:pStyle w:val="ListParagraph"/>
        <w:numPr>
          <w:ilvl w:val="0"/>
          <w:numId w:val="2"/>
        </w:numPr>
        <w:spacing w:after="70" w:line="280"/>
      </w:pPr>
      <w:r>
        <w:rPr>
          <w:rFonts w:ascii="Calibri" w:cs="Calibri" w:eastAsia="Calibri" w:hAnsi="Calibri"/>
          <w:color w:val="0E1A1C"/>
          <w:sz w:val="21"/>
          <w:szCs w:val="21"/>
        </w:rPr>
        <w:t xml:space="preserve">Beschrijf in twee alinea’s twee verhalen: één met het gemiddelde als hoofdgetal, één met de mediaan.</w:t>
      </w:r>
    </w:p>
    <w:p>
      <w:pPr>
        <w:pStyle w:val="ListParagraph"/>
        <w:numPr>
          <w:ilvl w:val="0"/>
          <w:numId w:val="2"/>
        </w:numPr>
        <w:spacing w:after="70" w:line="280"/>
      </w:pPr>
      <w:r>
        <w:rPr>
          <w:rFonts w:ascii="Calibri" w:cs="Calibri" w:eastAsia="Calibri" w:hAnsi="Calibri"/>
          <w:color w:val="0E1A1C"/>
          <w:sz w:val="21"/>
          <w:szCs w:val="21"/>
        </w:rPr>
        <w:t xml:space="preserve">Bepaal welk verhaal je aan de directie vertelt en waarom, en wat je erbij vermeldt.</w:t>
      </w:r>
    </w:p>
    <w:p>
      <w:pPr>
        <w:pStyle w:val="ListParagraph"/>
        <w:numPr>
          <w:ilvl w:val="0"/>
          <w:numId w:val="2"/>
        </w:numPr>
        <w:spacing w:after="70" w:line="280"/>
      </w:pPr>
      <w:r>
        <w:rPr>
          <w:rFonts w:ascii="Calibri" w:cs="Calibri" w:eastAsia="Calibri" w:hAnsi="Calibri"/>
          <w:color w:val="0E1A1C"/>
          <w:sz w:val="21"/>
          <w:szCs w:val="21"/>
        </w:rPr>
        <w:t xml:space="preserve">Zoek de tien hoogste aanspraken op en beoordeel of dit uitbijters, echte waarnemingen of een andere populatie zijn.</w:t>
      </w:r>
    </w:p>
    <w:p>
      <w:pPr>
        <w:pStyle w:val="ListParagraph"/>
        <w:numPr>
          <w:ilvl w:val="0"/>
          <w:numId w:val="2"/>
        </w:numPr>
        <w:spacing w:after="70" w:line="280"/>
      </w:pPr>
      <w:r>
        <w:rPr>
          <w:rFonts w:ascii="Calibri" w:cs="Calibri" w:eastAsia="Calibri" w:hAnsi="Calibri"/>
          <w:color w:val="0E1A1C"/>
          <w:sz w:val="21"/>
          <w:szCs w:val="21"/>
        </w:rPr>
        <w:t xml:space="preserve">Beschrijf wat je met die tien doet en waarom.</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Berekende maten, twee verhalen, een keuze met onderbouwing en een uitbijterbeoordeling.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Kijk bij de tien hoogste of het om een aanvullende directieregeling gaat. Dan is het een andere populatie en hoort er een aparte analyse.</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35 minuten</w:t>
      </w:r>
    </w:p>
    <w:p>
      <w:pPr>
        <w:spacing w:after="140"/>
      </w:pPr>
      <w:r>
        <w:rPr>
          <w:rFonts w:ascii="Cambria" w:cs="Cambria" w:eastAsia="Cambria" w:hAnsi="Cambria"/>
          <w:b/>
          <w:bCs/>
          <w:color w:val="1B4A48"/>
          <w:sz w:val="30"/>
          <w:szCs w:val="30"/>
        </w:rPr>
        <w:t xml:space="preserve">Correlatie en confounder</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schijnbaar verband ontleden en leren formuleren zonder te overclaimen.</w:t>
      </w:r>
    </w:p>
    <w:p>
      <w:pPr>
        <w:pStyle w:val="ListParagraph"/>
        <w:numPr>
          <w:ilvl w:val="0"/>
          <w:numId w:val="2"/>
        </w:numPr>
        <w:spacing w:after="70" w:line="280"/>
      </w:pPr>
      <w:r>
        <w:rPr>
          <w:rFonts w:ascii="Calibri" w:cs="Calibri" w:eastAsia="Calibri" w:hAnsi="Calibri"/>
          <w:color w:val="0E1A1C"/>
          <w:sz w:val="21"/>
          <w:szCs w:val="21"/>
        </w:rPr>
        <w:t xml:space="preserve">Stel vast dat portaalgebruikers vaker bijstorten dan niet-gebruikers.</w:t>
      </w:r>
    </w:p>
    <w:p>
      <w:pPr>
        <w:pStyle w:val="ListParagraph"/>
        <w:numPr>
          <w:ilvl w:val="0"/>
          <w:numId w:val="2"/>
        </w:numPr>
        <w:spacing w:after="70" w:line="280"/>
      </w:pPr>
      <w:r>
        <w:rPr>
          <w:rFonts w:ascii="Calibri" w:cs="Calibri" w:eastAsia="Calibri" w:hAnsi="Calibri"/>
          <w:color w:val="0E1A1C"/>
          <w:sz w:val="21"/>
          <w:szCs w:val="21"/>
        </w:rPr>
        <w:t xml:space="preserve">Formuleer de vier mogelijke verklaringen voor deze samenhang.</w:t>
      </w:r>
    </w:p>
    <w:p>
      <w:pPr>
        <w:pStyle w:val="ListParagraph"/>
        <w:numPr>
          <w:ilvl w:val="0"/>
          <w:numId w:val="2"/>
        </w:numPr>
        <w:spacing w:after="70" w:line="280"/>
      </w:pPr>
      <w:r>
        <w:rPr>
          <w:rFonts w:ascii="Calibri" w:cs="Calibri" w:eastAsia="Calibri" w:hAnsi="Calibri"/>
          <w:color w:val="0E1A1C"/>
          <w:sz w:val="21"/>
          <w:szCs w:val="21"/>
        </w:rPr>
        <w:t xml:space="preserve">Benoem minstens twee plausibele confounders en beschrijf hoe die beide gedragingen beïnvloeden.</w:t>
      </w:r>
    </w:p>
    <w:p>
      <w:pPr>
        <w:pStyle w:val="ListParagraph"/>
        <w:numPr>
          <w:ilvl w:val="0"/>
          <w:numId w:val="2"/>
        </w:numPr>
        <w:spacing w:after="70" w:line="280"/>
      </w:pPr>
      <w:r>
        <w:rPr>
          <w:rFonts w:ascii="Calibri" w:cs="Calibri" w:eastAsia="Calibri" w:hAnsi="Calibri"/>
          <w:color w:val="0E1A1C"/>
          <w:sz w:val="21"/>
          <w:szCs w:val="21"/>
        </w:rPr>
        <w:t xml:space="preserve">Beschrijf welke analyse je zou moeten doen om de oorzaak wél vast te stellen.</w:t>
      </w:r>
    </w:p>
    <w:p>
      <w:pPr>
        <w:pStyle w:val="ListParagraph"/>
        <w:numPr>
          <w:ilvl w:val="0"/>
          <w:numId w:val="2"/>
        </w:numPr>
        <w:spacing w:after="70" w:line="280"/>
      </w:pPr>
      <w:r>
        <w:rPr>
          <w:rFonts w:ascii="Calibri" w:cs="Calibri" w:eastAsia="Calibri" w:hAnsi="Calibri"/>
          <w:color w:val="0E1A1C"/>
          <w:sz w:val="21"/>
          <w:szCs w:val="21"/>
        </w:rPr>
        <w:t xml:space="preserve">Schrijf twee formuleringen op: één die overclaimt en één die klopt. Benoem het verschil in één zin.</w:t>
      </w:r>
    </w:p>
    <w:p>
      <w:pPr>
        <w:pStyle w:val="ListParagraph"/>
        <w:numPr>
          <w:ilvl w:val="0"/>
          <w:numId w:val="2"/>
        </w:numPr>
        <w:spacing w:after="70" w:line="280"/>
      </w:pPr>
      <w:r>
        <w:rPr>
          <w:rFonts w:ascii="Calibri" w:cs="Calibri" w:eastAsia="Calibri" w:hAnsi="Calibri"/>
          <w:color w:val="0E1A1C"/>
          <w:sz w:val="21"/>
          <w:szCs w:val="21"/>
        </w:rPr>
        <w:t xml:space="preserve">Bepaal welke bias er in deze meting zit doordat 4,2 procent geen e-mailadres heeft.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Vier verklaringen, twee confounders, een onderzoeksopzet en twee formuleringen naast elkaar.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biasvraag is de verborgen kern: wie geen e-mailadres heeft, zit niet in de digitale meting — en dat is bijna zeker geen willekeurige groep.</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45 minuten</w:t>
      </w:r>
    </w:p>
    <w:p>
      <w:pPr>
        <w:spacing w:after="140"/>
      </w:pPr>
      <w:r>
        <w:rPr>
          <w:rFonts w:ascii="Cambria" w:cs="Cambria" w:eastAsia="Cambria" w:hAnsi="Cambria"/>
          <w:b/>
          <w:bCs/>
          <w:color w:val="1B4A48"/>
          <w:sz w:val="30"/>
          <w:szCs w:val="30"/>
        </w:rPr>
        <w:t xml:space="preserve">Je analyse verantwoorden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verantwoording schrijven die je werk reproduceerbaar maakt en jou beschermt.</w:t>
      </w:r>
    </w:p>
    <w:p>
      <w:pPr>
        <w:pStyle w:val="ListParagraph"/>
        <w:numPr>
          <w:ilvl w:val="0"/>
          <w:numId w:val="2"/>
        </w:numPr>
        <w:spacing w:after="70" w:line="280"/>
      </w:pPr>
      <w:r>
        <w:rPr>
          <w:rFonts w:ascii="Calibri" w:cs="Calibri" w:eastAsia="Calibri" w:hAnsi="Calibri"/>
          <w:color w:val="0E1A1C"/>
          <w:sz w:val="21"/>
          <w:szCs w:val="21"/>
        </w:rPr>
        <w:t xml:space="preserve">Kies één analyse uit opdracht 3, 5 of 6.</w:t>
      </w:r>
    </w:p>
    <w:p>
      <w:pPr>
        <w:pStyle w:val="ListParagraph"/>
        <w:numPr>
          <w:ilvl w:val="0"/>
          <w:numId w:val="2"/>
        </w:numPr>
        <w:spacing w:after="70" w:line="280"/>
      </w:pPr>
      <w:r>
        <w:rPr>
          <w:rFonts w:ascii="Calibri" w:cs="Calibri" w:eastAsia="Calibri" w:hAnsi="Calibri"/>
          <w:color w:val="0E1A1C"/>
          <w:sz w:val="21"/>
          <w:szCs w:val="21"/>
        </w:rPr>
        <w:t xml:space="preserve">Schrijf een verantwoording van maximaal een halve pagina met de vijf onderdelen uit hoofdstuk 11.</w:t>
      </w:r>
    </w:p>
    <w:p>
      <w:pPr>
        <w:pStyle w:val="ListParagraph"/>
        <w:numPr>
          <w:ilvl w:val="0"/>
          <w:numId w:val="2"/>
        </w:numPr>
        <w:spacing w:after="70" w:line="280"/>
      </w:pPr>
      <w:r>
        <w:rPr>
          <w:rFonts w:ascii="Calibri" w:cs="Calibri" w:eastAsia="Calibri" w:hAnsi="Calibri"/>
          <w:color w:val="0E1A1C"/>
          <w:sz w:val="21"/>
          <w:szCs w:val="21"/>
        </w:rPr>
        <w:t xml:space="preserve">Vermeld hoeveel rijen elk filter heeft laten afvallen.</w:t>
      </w:r>
    </w:p>
    <w:p>
      <w:pPr>
        <w:pStyle w:val="ListParagraph"/>
        <w:numPr>
          <w:ilvl w:val="0"/>
          <w:numId w:val="2"/>
        </w:numPr>
        <w:spacing w:after="70" w:line="280"/>
      </w:pPr>
      <w:r>
        <w:rPr>
          <w:rFonts w:ascii="Calibri" w:cs="Calibri" w:eastAsia="Calibri" w:hAnsi="Calibri"/>
          <w:color w:val="0E1A1C"/>
          <w:sz w:val="21"/>
          <w:szCs w:val="21"/>
        </w:rPr>
        <w:t xml:space="preserve">Schrijf de zin over wat de analyse níét aantoont, en maak die concreet in plaats van algemeen.</w:t>
      </w:r>
    </w:p>
    <w:p>
      <w:pPr>
        <w:pStyle w:val="ListParagraph"/>
        <w:numPr>
          <w:ilvl w:val="0"/>
          <w:numId w:val="2"/>
        </w:numPr>
        <w:spacing w:after="70" w:line="280"/>
      </w:pPr>
      <w:r>
        <w:rPr>
          <w:rFonts w:ascii="Calibri" w:cs="Calibri" w:eastAsia="Calibri" w:hAnsi="Calibri"/>
          <w:color w:val="0E1A1C"/>
          <w:sz w:val="21"/>
          <w:szCs w:val="21"/>
        </w:rPr>
        <w:t xml:space="preserve">Laat een medecursist de verantwoording lezen en aanwijzen welke aanname hij zou aanvallen.</w:t>
      </w:r>
    </w:p>
    <w:p>
      <w:pPr>
        <w:pStyle w:val="ListParagraph"/>
        <w:numPr>
          <w:ilvl w:val="0"/>
          <w:numId w:val="2"/>
        </w:numPr>
        <w:spacing w:after="70" w:line="280"/>
      </w:pPr>
      <w:r>
        <w:rPr>
          <w:rFonts w:ascii="Calibri" w:cs="Calibri" w:eastAsia="Calibri" w:hAnsi="Calibri"/>
          <w:color w:val="0E1A1C"/>
          <w:sz w:val="21"/>
          <w:szCs w:val="21"/>
        </w:rPr>
        <w:t xml:space="preserve">Pas de verantwoording aan op grond van die feedback.</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Verantwoording van een halve pagina, aangepast na peer review.</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zin over wat je níét aantoont is het minst gebruikelijk en het meest waardevol. Maak hem specifiek: welke groep ontbreekt, welke oorzaak is niet uitgesloten.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Een manager vraagt hoeveel deelnemers vorig kwartaal zijn uitgestroomd. Welk type analyse is dat, en welk type wil hij waarschijnlijk?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Beschrijvend gevraagd, beschrijvend bedoeld.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Beschrijvend gevraagd, diagnostisch bedoeld.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Diagnostisch gevraagd, voorspellend bedoeld.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Voorspellend gevraagd, voorschrijvend bedoeld.</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Waarom kun je in WHERE niet filteren op een berekening die in SELECT staat?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 mag wel, het is alleen traag.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de database WHERE uitvoert vóór SELECT.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WHERE alleen tekstvelden aankan.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er dan een GROUP BY ontbreekt.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Wat is het fundamentele verschil tussen WHERE en HAVING?</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HAVING is nieuwer en sneller.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WHERE filtert rijen vóór het samenvatten, HAVING filtert groepen erna.</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WHERE werkt alleen op getallen.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HAVING kan alleen na ORDER BY.</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340 deelnemers verwijzen naar een werkgever die na een fusie niet meer bestaat. Wat doet een inner join?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Hij geeft een foutmelding.</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Hij laat die 340 stilzwijgend vallen.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Hij vult de werkgever aan met lege waarden.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Hij telt ze dubbel.</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Pensioenaanspraken zijn scheef verdeeld. Wat rapporteer je?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Alleen het gemiddelde, dat is de standaard.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Alleen de mediaan.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Mediaan én gemiddelde, met een toelichting op het verschil.</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modus.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Wanneer verwijder je een uitbijter?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Als de grafiek er dan beter uitziet.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Als het aantoonbaar een invoerfout is — en dan documenteer je het.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Altijd, uitbijters verstoren elke analyse.</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Nooit.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Wat is een confounder?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uitbijter die de berekening verstoort.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derde variabele die beide gemeten grootheden beïnvloedt en zo schijnbare samenhang veroorzaakt.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Een fout in de join.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niet-representatieve steekproef.</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Meridiaan meet tevredenheid onder deelnemers die nog klant zijn. Welke bias is dit?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Non-respons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Selectiebias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Overlevingsbias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Geen enkele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Waarom is "welke uitkomst zou uw besluit veranderen?" de belangrijkste vraag vooraf?</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 de doorlooptijd in te schatten.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je zo ontdekt of de analyse überhaupt tot een ander besluit kan leiden.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 de juiste tool te kiezen.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 de datakwaliteit te bepalen.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Wat hoort er in de verantwoording bij een analyse dat het minst gebruikelijk is?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gebruikte bron.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De peildatum.</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Wat de analyse níét aantoont.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toegepaste filters.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Wat betekent "gemiddeld 34 dagen" zonder spreidingsmaat?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 de meeste gevallen rond 34 dagen liggen.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Weinig — het is een half antwoord, want de spreiding kan twee dagen of veertig zijn.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Dat de mediaan ook 34 is.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Dat er geen uitbijters zijn.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Bij Meridiaan heeft 4,2 procent geen e-mailadres. Wat betekent dat voor een digitale enquête?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Niets, 4,2 procent is verwaarloosbaar.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Die groep ontbreekt systematisch, en het is bijna zeker geen willekeurige 4,2 procent.</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enquête moet worden herhaald.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gemiddelde moet worden gecorrigeerd met 4,2 procent.</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Welke analyse heb je zelf weleens opgeleverd zonder te benoemen wat hij niet aantoonde?</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Bij welke rapportage in je werk vermoed je dat een join stilzwijgend rijen weggooit?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 gemiddelde in jouw organisatie zou eigenlijk een mediaan moeten zijn?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5 — Fundamenten van data-analyse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Fundamenten van data-analyse — Werkboek</dc:title>
  <dc:creator>Ductus B.V.</dc:creator>
  <dc:description>Cursusmateriaal datamanagement, data-analyse en data governance</dc:description>
  <cp:lastModifiedBy>Un-named</cp:lastModifiedBy>
  <cp:revision>1</cp:revision>
  <dcterms:created xsi:type="dcterms:W3CDTF">2026-08-05T10:35:01.355Z</dcterms:created>
  <dcterms:modified xsi:type="dcterms:W3CDTF">2026-08-05T10:35:01.355Z</dcterms:modified>
</cp:coreProperties>
</file>

<file path=docProps/custom.xml><?xml version="1.0" encoding="utf-8"?>
<Properties xmlns="http://schemas.openxmlformats.org/officeDocument/2006/custom-properties" xmlns:vt="http://schemas.openxmlformats.org/officeDocument/2006/docPropsVTypes"/>
</file>