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7</w:t>
      </w:r>
    </w:p>
    <w:p>
      <w:pPr>
        <w:spacing w:after="120"/>
      </w:pPr>
      <w:r>
        <w:rPr>
          <w:rFonts w:ascii="Cambria" w:cs="Cambria" w:eastAsia="Cambria" w:hAnsi="Cambria"/>
          <w:b/>
          <w:bCs/>
          <w:color w:val="0E1A1C"/>
          <w:sz w:val="56"/>
          <w:szCs w:val="56"/>
        </w:rPr>
        <w:t xml:space="preserve">Governance, privacy en security</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2,5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Whiteboard, geprinte grondslagkaarten, het datalekscenario</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7 gelezen; delen 1 tot en met 6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één eigen verwerking meegenomen voor opdracht 6. Herinner de groep er vooraf aan dat het iets mag zijn waarvan ze niet zeker weten of het goed geregeld is — die onzekerheid is het materiaal.</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Zes geprinte grondslagkaarten, groot genoeg om op tafel te leggen bij opdracht 2 en 3.</w:t>
      </w:r>
    </w:p>
    <w:p>
      <w:pPr>
        <w:pStyle w:val="ListParagraph"/>
        <w:numPr>
          <w:ilvl w:val="0"/>
          <w:numId w:val="2"/>
        </w:numPr>
        <w:spacing w:after="70" w:line="280"/>
      </w:pPr>
      <w:r>
        <w:rPr>
          <w:rFonts w:ascii="Calibri" w:cs="Calibri" w:eastAsia="Calibri" w:hAnsi="Calibri"/>
          <w:color w:val="0E1A1C"/>
          <w:sz w:val="21"/>
          <w:szCs w:val="21"/>
        </w:rPr>
        <w:t xml:space="preserve">Het datalekscenario in drie enveloppen, één per ronde. Ronde 1: een medewerker meldt dat hij een bestand met 800 deelnemersrecords naar een verkeerd extern e-mailadres heeft gestuurd. Ronde 2: het bestand blijkt ook arbeidsongeschiktheidsgegevens te bevatten. Ronde 3: de ontvanger reageert dat hij het al heeft doorgestuurd naar een collega.</w:t>
      </w:r>
    </w:p>
    <w:p>
      <w:pPr>
        <w:pStyle w:val="ListParagraph"/>
        <w:numPr>
          <w:ilvl w:val="0"/>
          <w:numId w:val="2"/>
        </w:numPr>
        <w:spacing w:after="70" w:line="280"/>
      </w:pPr>
      <w:r>
        <w:rPr>
          <w:rFonts w:ascii="Calibri" w:cs="Calibri" w:eastAsia="Calibri" w:hAnsi="Calibri"/>
          <w:color w:val="0E1A1C"/>
          <w:sz w:val="21"/>
          <w:szCs w:val="21"/>
        </w:rPr>
        <w:t xml:space="preserve">De contactgegevens van je eigen FG of privacyfunctionaris zichtbaar — dat modelleert het gedrag dat je wilt zien.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Delen 1 tot en met 6 gingen over data die er is, klopt en betekenis krijgt. Dit deel gaat over de vraag of het mag en of het hoort. Deel 16 verdiept governance tot een volledig operating model richting het specialistexamen; deel 17 verdiept privacy en security naar de uitvoering en de optionele CIPP/E; deel 27 pakt de ethiekvraag op in AI-governance. Voor het Fundamentals-examen is Data Governance een van de zwaarst wegende gebieden.</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mag marketing dit?</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Stel de vraag zonder antwoord en laat hem staan tot opdracht 3</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Persoonsgegeven en grondslagen,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 de grondslagkaarten op tafel; toestemming is het leermoment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0:40–1:25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de marketingcasus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het advies een alternatief bevat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1:25–2:00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classificatie en toegang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Stapeling is het punt dat blijft hangen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2:00–2:30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het datalekscenario</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Drie ronden, strak getimed; laat ze de fout maken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2:30–2:30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en huiswerk</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Persoonsgegeven of niet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ja, herleidbaar met de eigen sleuteltabel. (b) nee bij vierduizend. (c) ja bij vier. (d) ja. (e) ja, de combinatie identificeert. (f) hangt ervan af.</w:t>
      </w:r>
    </w:p>
    <w:p>
      <w:pPr>
        <w:pStyle w:val="ListParagraph"/>
        <w:numPr>
          <w:ilvl w:val="0"/>
          <w:numId w:val="2"/>
        </w:numPr>
        <w:spacing w:after="70" w:line="280"/>
      </w:pPr>
      <w:r>
        <w:rPr>
          <w:rFonts w:ascii="Calibri" w:cs="Calibri" w:eastAsia="Calibri" w:hAnsi="Calibri"/>
          <w:color w:val="0E1A1C"/>
          <w:sz w:val="21"/>
          <w:szCs w:val="21"/>
        </w:rPr>
        <w:t xml:space="preserve">Bij (f) het onderscheid gemaakt tussen een eenmanszaak op naam en een rechtspersoon.</w:t>
      </w:r>
    </w:p>
    <w:p>
      <w:pPr>
        <w:pStyle w:val="ListParagraph"/>
        <w:numPr>
          <w:ilvl w:val="0"/>
          <w:numId w:val="2"/>
        </w:numPr>
        <w:spacing w:after="70" w:line="280"/>
      </w:pPr>
      <w:r>
        <w:rPr>
          <w:rFonts w:ascii="Calibri" w:cs="Calibri" w:eastAsia="Calibri" w:hAnsi="Calibri"/>
          <w:color w:val="0E1A1C"/>
          <w:sz w:val="21"/>
          <w:szCs w:val="21"/>
        </w:rPr>
        <w:t xml:space="preserve">Arbeidsongeschiktheidsgegevens en een regeling die daarnaar verwijst herkend als bijzondere categorie.</w:t>
      </w:r>
    </w:p>
    <w:p>
      <w:pPr>
        <w:pStyle w:val="ListParagraph"/>
        <w:numPr>
          <w:ilvl w:val="0"/>
          <w:numId w:val="2"/>
        </w:numPr>
        <w:spacing w:after="70" w:line="280"/>
      </w:pPr>
      <w:r>
        <w:rPr>
          <w:rFonts w:ascii="Calibri" w:cs="Calibri" w:eastAsia="Calibri" w:hAnsi="Calibri"/>
          <w:color w:val="0E1A1C"/>
          <w:sz w:val="21"/>
          <w:szCs w:val="21"/>
        </w:rPr>
        <w:t xml:space="preserve">De vuistregel geformuleerd: aggregatie beschermt alleen bij voldoende groepsgrootte.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 als niet-persoonsgegeven bestempelen omdat er geen naam in staat. Vraag wie de sleuteltabel heeft.</w:t>
      </w:r>
    </w:p>
    <w:p>
      <w:pPr>
        <w:pStyle w:val="ListParagraph"/>
        <w:numPr>
          <w:ilvl w:val="0"/>
          <w:numId w:val="2"/>
        </w:numPr>
        <w:spacing w:after="70" w:line="280"/>
      </w:pPr>
      <w:r>
        <w:rPr>
          <w:rFonts w:ascii="Calibri" w:cs="Calibri" w:eastAsia="Calibri" w:hAnsi="Calibri"/>
          <w:color w:val="0E1A1C"/>
          <w:sz w:val="21"/>
          <w:szCs w:val="21"/>
        </w:rPr>
        <w:t xml:space="preserve">(b) en (c) hetzelfde beantwoorden. Het verschil is de hele oefening.</w:t>
      </w:r>
    </w:p>
    <w:p>
      <w:pPr>
        <w:pStyle w:val="ListParagraph"/>
        <w:numPr>
          <w:ilvl w:val="0"/>
          <w:numId w:val="2"/>
        </w:numPr>
        <w:spacing w:after="70" w:line="280"/>
      </w:pPr>
      <w:r>
        <w:rPr>
          <w:rFonts w:ascii="Calibri" w:cs="Calibri" w:eastAsia="Calibri" w:hAnsi="Calibri"/>
          <w:color w:val="0E1A1C"/>
          <w:sz w:val="21"/>
          <w:szCs w:val="21"/>
        </w:rPr>
        <w:t xml:space="preserve">De indirecte route naar bijzondere gegevens missen — een regeling die alleen voor arbeidsongeschikten bestaat, verraadt de gezondheidssituatie.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"geanonimiseerd" bestand in jouw organisatie zou deze toets niet doorstaan?</w:t>
            </w:r>
          </w:p>
        </w:tc>
      </w:tr>
    </w:tbl>
    <w:p>
      <w:pPr>
        <w:pStyle w:val="Heading2"/>
        <w:spacing w:after="140" w:before="340"/>
      </w:pPr>
      <w:r>
        <w:rPr>
          <w:rFonts w:ascii="Cambria" w:cs="Cambria" w:eastAsia="Cambria" w:hAnsi="Cambria"/>
          <w:b/>
          <w:bCs/>
          <w:color w:val="0E1A1C"/>
          <w:sz w:val="26"/>
          <w:szCs w:val="26"/>
        </w:rPr>
        <w:t xml:space="preserve">Opdracht 2 — Grondslag bepalen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 uitvoering overeenkomst. (b) wettelijke verplichting. (c) uitvoering overeenkomst bij informatie, toestemming bij commercie. (d) gerechtvaardigd belang. (e) gerechtvaardigd belang of toestemming, mits werkelijk vrijwillig.</w:t>
      </w:r>
    </w:p>
    <w:p>
      <w:pPr>
        <w:pStyle w:val="ListParagraph"/>
        <w:numPr>
          <w:ilvl w:val="0"/>
          <w:numId w:val="2"/>
        </w:numPr>
        <w:spacing w:after="70" w:line="280"/>
      </w:pPr>
      <w:r>
        <w:rPr>
          <w:rFonts w:ascii="Calibri" w:cs="Calibri" w:eastAsia="Calibri" w:hAnsi="Calibri"/>
          <w:color w:val="0E1A1C"/>
          <w:sz w:val="21"/>
          <w:szCs w:val="21"/>
        </w:rPr>
        <w:t xml:space="preserve">Bij (d) een belangenafweging met beide kanten benoemd en een conclusie die niet vanzelfsprekend is.</w:t>
      </w:r>
    </w:p>
    <w:p>
      <w:pPr>
        <w:pStyle w:val="ListParagraph"/>
        <w:numPr>
          <w:ilvl w:val="0"/>
          <w:numId w:val="2"/>
        </w:numPr>
        <w:spacing w:after="70" w:line="280"/>
      </w:pPr>
      <w:r>
        <w:rPr>
          <w:rFonts w:ascii="Calibri" w:cs="Calibri" w:eastAsia="Calibri" w:hAnsi="Calibri"/>
          <w:color w:val="0E1A1C"/>
          <w:sz w:val="21"/>
          <w:szCs w:val="21"/>
        </w:rPr>
        <w:t xml:space="preserve">Bij (c) het onderscheid informatie versus marketing scherp gemaakt — dat bepaalt de grondslag.</w:t>
      </w:r>
    </w:p>
    <w:p>
      <w:pPr>
        <w:pStyle w:val="ListParagraph"/>
        <w:numPr>
          <w:ilvl w:val="0"/>
          <w:numId w:val="2"/>
        </w:numPr>
        <w:spacing w:after="70" w:line="280"/>
      </w:pPr>
      <w:r>
        <w:rPr>
          <w:rFonts w:ascii="Calibri" w:cs="Calibri" w:eastAsia="Calibri" w:hAnsi="Calibri"/>
          <w:color w:val="0E1A1C"/>
          <w:sz w:val="21"/>
          <w:szCs w:val="21"/>
        </w:rPr>
        <w:t xml:space="preserve">De opmerking dat toestemming bij een verplichte relatie zelden vrij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Overal toestemming kiezen omdat het netjes klinkt. Vraag of de deelnemer kan weglopen.</w:t>
      </w:r>
    </w:p>
    <w:p>
      <w:pPr>
        <w:pStyle w:val="ListParagraph"/>
        <w:numPr>
          <w:ilvl w:val="0"/>
          <w:numId w:val="2"/>
        </w:numPr>
        <w:spacing w:after="70" w:line="280"/>
      </w:pPr>
      <w:r>
        <w:rPr>
          <w:rFonts w:ascii="Calibri" w:cs="Calibri" w:eastAsia="Calibri" w:hAnsi="Calibri"/>
          <w:color w:val="0E1A1C"/>
          <w:sz w:val="21"/>
          <w:szCs w:val="21"/>
        </w:rPr>
        <w:t xml:space="preserve">Twee grondslagen combineren voor één doel. Er is er precies één per verwerkingsdoel.</w:t>
      </w:r>
    </w:p>
    <w:p>
      <w:pPr>
        <w:pStyle w:val="ListParagraph"/>
        <w:numPr>
          <w:ilvl w:val="0"/>
          <w:numId w:val="2"/>
        </w:numPr>
        <w:spacing w:after="70" w:line="280"/>
      </w:pPr>
      <w:r>
        <w:rPr>
          <w:rFonts w:ascii="Calibri" w:cs="Calibri" w:eastAsia="Calibri" w:hAnsi="Calibri"/>
          <w:color w:val="0E1A1C"/>
          <w:sz w:val="21"/>
          <w:szCs w:val="21"/>
        </w:rPr>
        <w:t xml:space="preserve">De belangenafweging bij (d) reduceren tot "fraude is slecht". Het belang van de betrokkene hoort er ook in.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doe je als een lopende verwerking geen aanwijsbare grondslag blijkt te hebben?</w:t>
            </w:r>
          </w:p>
        </w:tc>
      </w:tr>
    </w:tbl>
    <w:p>
      <w:pPr>
        <w:pStyle w:val="Heading2"/>
        <w:spacing w:after="140" w:before="340"/>
      </w:pPr>
      <w:r>
        <w:rPr>
          <w:rFonts w:ascii="Cambria" w:cs="Cambria" w:eastAsia="Cambria" w:hAnsi="Cambria"/>
          <w:b/>
          <w:bCs/>
          <w:color w:val="0E1A1C"/>
          <w:sz w:val="26"/>
          <w:szCs w:val="26"/>
        </w:rPr>
        <w:t xml:space="preserve">Opdracht 3 — Mag marketing dit?</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Doelbinding aangewezen als het beginsel dat het meest onder druk staat: verzameld voor de pensioenovereenkomst, gebruikt voor een commercieel aanbod van een derde.</w:t>
      </w:r>
    </w:p>
    <w:p>
      <w:pPr>
        <w:pStyle w:val="ListParagraph"/>
        <w:numPr>
          <w:ilvl w:val="0"/>
          <w:numId w:val="2"/>
        </w:numPr>
        <w:spacing w:after="70" w:line="280"/>
      </w:pPr>
      <w:r>
        <w:rPr>
          <w:rFonts w:ascii="Calibri" w:cs="Calibri" w:eastAsia="Calibri" w:hAnsi="Calibri"/>
          <w:color w:val="0E1A1C"/>
          <w:sz w:val="21"/>
          <w:szCs w:val="21"/>
        </w:rPr>
        <w:t xml:space="preserve">Minimalisatie betrokken: waarom is leeftijd nodig, en waarom deze selectie?</w:t>
      </w:r>
    </w:p>
    <w:p>
      <w:pPr>
        <w:pStyle w:val="ListParagraph"/>
        <w:numPr>
          <w:ilvl w:val="0"/>
          <w:numId w:val="2"/>
        </w:numPr>
        <w:spacing w:after="70" w:line="280"/>
      </w:pPr>
      <w:r>
        <w:rPr>
          <w:rFonts w:ascii="Calibri" w:cs="Calibri" w:eastAsia="Calibri" w:hAnsi="Calibri"/>
          <w:color w:val="0E1A1C"/>
          <w:sz w:val="21"/>
          <w:szCs w:val="21"/>
        </w:rPr>
        <w:t xml:space="preserve">De vraag gesteld wie hier verwerkingsverantwoordelijke is zodra de externe partner in beeld komt.</w:t>
      </w:r>
    </w:p>
    <w:p>
      <w:pPr>
        <w:pStyle w:val="ListParagraph"/>
        <w:numPr>
          <w:ilvl w:val="0"/>
          <w:numId w:val="2"/>
        </w:numPr>
        <w:spacing w:after="70" w:line="280"/>
      </w:pPr>
      <w:r>
        <w:rPr>
          <w:rFonts w:ascii="Calibri" w:cs="Calibri" w:eastAsia="Calibri" w:hAnsi="Calibri"/>
          <w:color w:val="0E1A1C"/>
          <w:sz w:val="21"/>
          <w:szCs w:val="21"/>
        </w:rPr>
        <w:t xml:space="preserve">De ethische toets toegepast, met "zou de deelnemer verbaasd zijn" als doorslaggevend.</w:t>
      </w:r>
    </w:p>
    <w:p>
      <w:pPr>
        <w:pStyle w:val="ListParagraph"/>
        <w:numPr>
          <w:ilvl w:val="0"/>
          <w:numId w:val="2"/>
        </w:numPr>
        <w:spacing w:after="70" w:line="280"/>
      </w:pPr>
      <w:r>
        <w:rPr>
          <w:rFonts w:ascii="Calibri" w:cs="Calibri" w:eastAsia="Calibri" w:hAnsi="Calibri"/>
          <w:color w:val="0E1A1C"/>
          <w:sz w:val="21"/>
          <w:szCs w:val="21"/>
        </w:rPr>
        <w:t xml:space="preserve">Een advies met een uitvoerbaar alternatief: bijvoorbeeld een algemene uiting zonder selectie, of een opt-in traject.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"nee, mag niet" adviseren. Dat advies wordt genegeerd en jij wordt de volgende keer niet gebeld.</w:t>
      </w:r>
    </w:p>
    <w:p>
      <w:pPr>
        <w:pStyle w:val="ListParagraph"/>
        <w:numPr>
          <w:ilvl w:val="0"/>
          <w:numId w:val="2"/>
        </w:numPr>
        <w:spacing w:after="70" w:line="280"/>
      </w:pPr>
      <w:r>
        <w:rPr>
          <w:rFonts w:ascii="Calibri" w:cs="Calibri" w:eastAsia="Calibri" w:hAnsi="Calibri"/>
          <w:color w:val="0E1A1C"/>
          <w:sz w:val="21"/>
          <w:szCs w:val="21"/>
        </w:rPr>
        <w:t xml:space="preserve">De externe partner buiten beschouwing laten. Juist daar zit de extra vraag.</w:t>
      </w:r>
    </w:p>
    <w:p>
      <w:pPr>
        <w:pStyle w:val="ListParagraph"/>
        <w:numPr>
          <w:ilvl w:val="0"/>
          <w:numId w:val="2"/>
        </w:numPr>
        <w:spacing w:after="70" w:line="280"/>
      </w:pPr>
      <w:r>
        <w:rPr>
          <w:rFonts w:ascii="Calibri" w:cs="Calibri" w:eastAsia="Calibri" w:hAnsi="Calibri"/>
          <w:color w:val="0E1A1C"/>
          <w:sz w:val="21"/>
          <w:szCs w:val="21"/>
        </w:rPr>
        <w:t xml:space="preserve">De ethische toets overslaan omdat het juridische antwoord al nee is. Ook bij een ja blijft die vraag staan.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is jouw alternatief, en zou de marketingmanager daar iets aan hebben?</w:t>
            </w:r>
          </w:p>
        </w:tc>
      </w:tr>
    </w:tbl>
    <w:p>
      <w:pPr>
        <w:pStyle w:val="Heading2"/>
        <w:spacing w:after="140" w:before="340"/>
      </w:pPr>
      <w:r>
        <w:rPr>
          <w:rFonts w:ascii="Cambria" w:cs="Cambria" w:eastAsia="Cambria" w:hAnsi="Cambria"/>
          <w:b/>
          <w:bCs/>
          <w:color w:val="0E1A1C"/>
          <w:sz w:val="26"/>
          <w:szCs w:val="26"/>
        </w:rPr>
        <w:t xml:space="preserve">Opdracht 4 — Classificatie en toegang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Arbeidsongeschiktheidsgegevens hoogst op vertrouwelijkheid; IBAN hoogst op integriteit; uitbetaling hoogst op beschikbaarheid — de koppeling met de RTO uit deel 3.</w:t>
      </w:r>
    </w:p>
    <w:p>
      <w:pPr>
        <w:pStyle w:val="ListParagraph"/>
        <w:numPr>
          <w:ilvl w:val="0"/>
          <w:numId w:val="2"/>
        </w:numPr>
        <w:spacing w:after="70" w:line="280"/>
      </w:pPr>
      <w:r>
        <w:rPr>
          <w:rFonts w:ascii="Calibri" w:cs="Calibri" w:eastAsia="Calibri" w:hAnsi="Calibri"/>
          <w:color w:val="0E1A1C"/>
          <w:sz w:val="21"/>
          <w:szCs w:val="21"/>
        </w:rPr>
        <w:t xml:space="preserve">De begrippenlijst laag geclassificeerd, met de opmerking dat lage classificatie niet betekent dat beheer onnodig is.</w:t>
      </w:r>
    </w:p>
    <w:p>
      <w:pPr>
        <w:pStyle w:val="ListParagraph"/>
        <w:numPr>
          <w:ilvl w:val="0"/>
          <w:numId w:val="2"/>
        </w:numPr>
        <w:spacing w:after="70" w:line="280"/>
      </w:pPr>
      <w:r>
        <w:rPr>
          <w:rFonts w:ascii="Calibri" w:cs="Calibri" w:eastAsia="Calibri" w:hAnsi="Calibri"/>
          <w:color w:val="0E1A1C"/>
          <w:sz w:val="21"/>
          <w:szCs w:val="21"/>
        </w:rPr>
        <w:t xml:space="preserve">Herbeoordelingsfrequentie per dataset gedifferentieerd in plaats van uniform.</w:t>
      </w:r>
    </w:p>
    <w:p>
      <w:pPr>
        <w:pStyle w:val="ListParagraph"/>
        <w:numPr>
          <w:ilvl w:val="0"/>
          <w:numId w:val="2"/>
        </w:numPr>
        <w:spacing w:after="70" w:line="280"/>
      </w:pPr>
      <w:r>
        <w:rPr>
          <w:rFonts w:ascii="Calibri" w:cs="Calibri" w:eastAsia="Calibri" w:hAnsi="Calibri"/>
          <w:color w:val="0E1A1C"/>
          <w:sz w:val="21"/>
          <w:szCs w:val="21"/>
        </w:rPr>
        <w:t xml:space="preserve">Het effect van alles-op-zwaarste beschreven: werken wordt onmogelijk en er ontstaan schaduw-oplossingen.</w:t>
      </w:r>
    </w:p>
    <w:p>
      <w:pPr>
        <w:pStyle w:val="ListParagraph"/>
        <w:numPr>
          <w:ilvl w:val="0"/>
          <w:numId w:val="2"/>
        </w:numPr>
        <w:spacing w:after="70" w:line="280"/>
      </w:pPr>
      <w:r>
        <w:rPr>
          <w:rFonts w:ascii="Calibri" w:cs="Calibri" w:eastAsia="Calibri" w:hAnsi="Calibri"/>
          <w:color w:val="0E1A1C"/>
          <w:sz w:val="21"/>
          <w:szCs w:val="21"/>
        </w:rPr>
        <w:t xml:space="preserve">Een structurele maatregel tegen stapeling: rechten koppelen aan de functie en bij wijziging automatisch intrekken en opnieuw toekennen.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op vertrouwelijk zetten. Vraag wat dat betekent voor de analist die morgen een rapportage moet maken.</w:t>
      </w:r>
    </w:p>
    <w:p>
      <w:pPr>
        <w:pStyle w:val="ListParagraph"/>
        <w:numPr>
          <w:ilvl w:val="0"/>
          <w:numId w:val="2"/>
        </w:numPr>
        <w:spacing w:after="70" w:line="280"/>
      </w:pPr>
      <w:r>
        <w:rPr>
          <w:rFonts w:ascii="Calibri" w:cs="Calibri" w:eastAsia="Calibri" w:hAnsi="Calibri"/>
          <w:color w:val="0E1A1C"/>
          <w:sz w:val="21"/>
          <w:szCs w:val="21"/>
        </w:rPr>
        <w:t xml:space="preserve">Integriteit vergeten. Vertrouwelijkheid krijgt bijna alle aandacht terwijl een gewijzigd IBAN direct geld kost.</w:t>
      </w:r>
    </w:p>
    <w:p>
      <w:pPr>
        <w:pStyle w:val="ListParagraph"/>
        <w:numPr>
          <w:ilvl w:val="0"/>
          <w:numId w:val="2"/>
        </w:numPr>
        <w:spacing w:after="70" w:line="280"/>
      </w:pPr>
      <w:r>
        <w:rPr>
          <w:rFonts w:ascii="Calibri" w:cs="Calibri" w:eastAsia="Calibri" w:hAnsi="Calibri"/>
          <w:color w:val="0E1A1C"/>
          <w:sz w:val="21"/>
          <w:szCs w:val="21"/>
        </w:rPr>
        <w:t xml:space="preserve">De maatregel tegen stapeling formuleren als "beter opletten". Dat is geen maatregel.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beantwoord je "de directeur wil ook toegang" zonder je carrière te schaden?</w:t>
            </w:r>
          </w:p>
        </w:tc>
      </w:tr>
    </w:tbl>
    <w:p>
      <w:pPr>
        <w:pStyle w:val="Heading2"/>
        <w:spacing w:after="140" w:before="340"/>
      </w:pPr>
      <w:r>
        <w:rPr>
          <w:rFonts w:ascii="Cambria" w:cs="Cambria" w:eastAsia="Cambria" w:hAnsi="Cambria"/>
          <w:b/>
          <w:bCs/>
          <w:color w:val="0E1A1C"/>
          <w:sz w:val="26"/>
          <w:szCs w:val="26"/>
        </w:rPr>
        <w:t xml:space="preserve">Opdracht 5 — Datalek — het eerste uur</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Ronde 1: direct intern melden bij de FG, niets verwijderen, de ontvanger vragen het bestand niet te openen of te verspreiden, en vastleggen wanneer je het hoorde.</w:t>
      </w:r>
    </w:p>
    <w:p>
      <w:pPr>
        <w:pStyle w:val="ListParagraph"/>
        <w:numPr>
          <w:ilvl w:val="0"/>
          <w:numId w:val="2"/>
        </w:numPr>
        <w:spacing w:after="70" w:line="280"/>
      </w:pPr>
      <w:r>
        <w:rPr>
          <w:rFonts w:ascii="Calibri" w:cs="Calibri" w:eastAsia="Calibri" w:hAnsi="Calibri"/>
          <w:color w:val="0E1A1C"/>
          <w:sz w:val="21"/>
          <w:szCs w:val="21"/>
        </w:rPr>
        <w:t xml:space="preserve">De termijn laten lopen vanaf de melding door de medewerker, niet vanaf ronde 3.</w:t>
      </w:r>
    </w:p>
    <w:p>
      <w:pPr>
        <w:pStyle w:val="ListParagraph"/>
        <w:numPr>
          <w:ilvl w:val="0"/>
          <w:numId w:val="2"/>
        </w:numPr>
        <w:spacing w:after="70" w:line="280"/>
      </w:pPr>
      <w:r>
        <w:rPr>
          <w:rFonts w:ascii="Calibri" w:cs="Calibri" w:eastAsia="Calibri" w:hAnsi="Calibri"/>
          <w:color w:val="0E1A1C"/>
          <w:sz w:val="21"/>
          <w:szCs w:val="21"/>
        </w:rPr>
        <w:t xml:space="preserve">Ronde 2: erkennen dat bijzondere categorieën de risico-inschatting veranderen, maar de beoordeling niet zelf maken.</w:t>
      </w:r>
    </w:p>
    <w:p>
      <w:pPr>
        <w:pStyle w:val="ListParagraph"/>
        <w:numPr>
          <w:ilvl w:val="0"/>
          <w:numId w:val="2"/>
        </w:numPr>
        <w:spacing w:after="70" w:line="280"/>
      </w:pPr>
      <w:r>
        <w:rPr>
          <w:rFonts w:ascii="Calibri" w:cs="Calibri" w:eastAsia="Calibri" w:hAnsi="Calibri"/>
          <w:color w:val="0E1A1C"/>
          <w:sz w:val="21"/>
          <w:szCs w:val="21"/>
        </w:rPr>
        <w:t xml:space="preserve">Ronde 3: onderkennen dat verspreiding het risico verhoogt en dat informeren van betrokkenen nu waarschijnlijk aan de orde is — met de FG als beslisser.</w:t>
      </w:r>
    </w:p>
    <w:p>
      <w:pPr>
        <w:pStyle w:val="ListParagraph"/>
        <w:numPr>
          <w:ilvl w:val="0"/>
          <w:numId w:val="2"/>
        </w:numPr>
        <w:spacing w:after="70" w:line="280"/>
      </w:pPr>
      <w:r>
        <w:rPr>
          <w:rFonts w:ascii="Calibri" w:cs="Calibri" w:eastAsia="Calibri" w:hAnsi="Calibri"/>
          <w:color w:val="0E1A1C"/>
          <w:sz w:val="21"/>
          <w:szCs w:val="21"/>
        </w:rPr>
        <w:t xml:space="preserve">De onderdrukte reflex benoemd: eerst zelf uitzoeken hoe erg het is.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Wachten met melden tot ronde 3. Dat is precies de fout die het scenario uitlokt; laat hem gebeuren en bespreek hem daarna.</w:t>
      </w:r>
    </w:p>
    <w:p>
      <w:pPr>
        <w:pStyle w:val="ListParagraph"/>
        <w:numPr>
          <w:ilvl w:val="0"/>
          <w:numId w:val="2"/>
        </w:numPr>
        <w:spacing w:after="70" w:line="280"/>
      </w:pPr>
      <w:r>
        <w:rPr>
          <w:rFonts w:ascii="Calibri" w:cs="Calibri" w:eastAsia="Calibri" w:hAnsi="Calibri"/>
          <w:color w:val="0E1A1C"/>
          <w:sz w:val="21"/>
          <w:szCs w:val="21"/>
        </w:rPr>
        <w:t xml:space="preserve">Zelf besluiten dat het geen risico oplevert. Die beoordeling is niet jouw rol.</w:t>
      </w:r>
    </w:p>
    <w:p>
      <w:pPr>
        <w:pStyle w:val="ListParagraph"/>
        <w:numPr>
          <w:ilvl w:val="0"/>
          <w:numId w:val="2"/>
        </w:numPr>
        <w:spacing w:after="70" w:line="280"/>
      </w:pPr>
      <w:r>
        <w:rPr>
          <w:rFonts w:ascii="Calibri" w:cs="Calibri" w:eastAsia="Calibri" w:hAnsi="Calibri"/>
          <w:color w:val="0E1A1C"/>
          <w:sz w:val="21"/>
          <w:szCs w:val="21"/>
        </w:rPr>
        <w:t xml:space="preserve">De ontvanger vragen het bestand te verwijderen en dat als afhandeling beschouwen.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reflex moest je onderdrukken — en zou je dat op een drukke vrijdagmiddag ook lukken?</w:t>
            </w:r>
          </w:p>
        </w:tc>
      </w:tr>
    </w:tbl>
    <w:p>
      <w:pPr>
        <w:pStyle w:val="Heading2"/>
        <w:spacing w:after="140" w:before="340"/>
      </w:pPr>
      <w:r>
        <w:rPr>
          <w:rFonts w:ascii="Cambria" w:cs="Cambria" w:eastAsia="Cambria" w:hAnsi="Cambria"/>
          <w:b/>
          <w:bCs/>
          <w:color w:val="0E1A1C"/>
          <w:sz w:val="26"/>
          <w:szCs w:val="26"/>
        </w:rPr>
        <w:t xml:space="preserve">Opdracht 6 — Ethiektoets op eigen werk</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echte verwerking gekozen, geen veilig voorbeeld.</w:t>
      </w:r>
    </w:p>
    <w:p>
      <w:pPr>
        <w:pStyle w:val="ListParagraph"/>
        <w:numPr>
          <w:ilvl w:val="0"/>
          <w:numId w:val="2"/>
        </w:numPr>
        <w:spacing w:after="70" w:line="280"/>
      </w:pPr>
      <w:r>
        <w:rPr>
          <w:rFonts w:ascii="Calibri" w:cs="Calibri" w:eastAsia="Calibri" w:hAnsi="Calibri"/>
          <w:color w:val="0E1A1C"/>
          <w:sz w:val="21"/>
          <w:szCs w:val="21"/>
        </w:rPr>
        <w:t xml:space="preserve">Bij minstens twee beginselen eerlijk "ik weet het niet" genoteerd.</w:t>
      </w:r>
    </w:p>
    <w:p>
      <w:pPr>
        <w:pStyle w:val="ListParagraph"/>
        <w:numPr>
          <w:ilvl w:val="0"/>
          <w:numId w:val="2"/>
        </w:numPr>
        <w:spacing w:after="70" w:line="280"/>
      </w:pPr>
      <w:r>
        <w:rPr>
          <w:rFonts w:ascii="Calibri" w:cs="Calibri" w:eastAsia="Calibri" w:hAnsi="Calibri"/>
          <w:color w:val="0E1A1C"/>
          <w:sz w:val="21"/>
          <w:szCs w:val="21"/>
        </w:rPr>
        <w:t xml:space="preserve">De vier ethische vragen beantwoord zonder de uitkomst weg te redeneren.</w:t>
      </w:r>
    </w:p>
    <w:p>
      <w:pPr>
        <w:pStyle w:val="ListParagraph"/>
        <w:numPr>
          <w:ilvl w:val="0"/>
          <w:numId w:val="2"/>
        </w:numPr>
        <w:spacing w:after="70" w:line="280"/>
      </w:pPr>
      <w:r>
        <w:rPr>
          <w:rFonts w:ascii="Calibri" w:cs="Calibri" w:eastAsia="Calibri" w:hAnsi="Calibri"/>
          <w:color w:val="0E1A1C"/>
          <w:sz w:val="21"/>
          <w:szCs w:val="21"/>
        </w:rPr>
        <w:t xml:space="preserve">Een concrete vraag geformuleerd aan een aanwijsbaar persoon, niet aan "de organisatie".</w:t>
      </w:r>
    </w:p>
    <w:p>
      <w:pPr>
        <w:pStyle w:val="ListParagraph"/>
        <w:numPr>
          <w:ilvl w:val="0"/>
          <w:numId w:val="2"/>
        </w:numPr>
        <w:spacing w:after="70" w:line="280"/>
      </w:pPr>
      <w:r>
        <w:rPr>
          <w:rFonts w:ascii="Calibri" w:cs="Calibri" w:eastAsia="Calibri" w:hAnsi="Calibri"/>
          <w:color w:val="0E1A1C"/>
          <w:sz w:val="21"/>
          <w:szCs w:val="21"/>
        </w:rPr>
        <w:t xml:space="preserve">De vraag zo geformuleerd dat hij om duidelijkheid vraagt in plaats van een verwijt te maken.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Een verwerking kiezen waarvan alles al goed geregeld is. Dan levert de opdracht niets op.</w:t>
      </w:r>
    </w:p>
    <w:p>
      <w:pPr>
        <w:pStyle w:val="ListParagraph"/>
        <w:numPr>
          <w:ilvl w:val="0"/>
          <w:numId w:val="2"/>
        </w:numPr>
        <w:spacing w:after="70" w:line="280"/>
      </w:pPr>
      <w:r>
        <w:rPr>
          <w:rFonts w:ascii="Calibri" w:cs="Calibri" w:eastAsia="Calibri" w:hAnsi="Calibri"/>
          <w:color w:val="0E1A1C"/>
          <w:sz w:val="21"/>
          <w:szCs w:val="21"/>
        </w:rPr>
        <w:t xml:space="preserve">Onzekerheid invullen met aannames. "Ik weet het niet" is bij drie van de zes beginselen normaal.</w:t>
      </w:r>
    </w:p>
    <w:p>
      <w:pPr>
        <w:pStyle w:val="ListParagraph"/>
        <w:numPr>
          <w:ilvl w:val="0"/>
          <w:numId w:val="2"/>
        </w:numPr>
        <w:spacing w:after="70" w:line="280"/>
      </w:pPr>
      <w:r>
        <w:rPr>
          <w:rFonts w:ascii="Calibri" w:cs="Calibri" w:eastAsia="Calibri" w:hAnsi="Calibri"/>
          <w:color w:val="0E1A1C"/>
          <w:sz w:val="21"/>
          <w:szCs w:val="21"/>
        </w:rPr>
        <w:t xml:space="preserve">De vraag richten aan een afdeling in plaats van aan een persoon.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Ga je die vraag ook echt stellen? En zo niet, wat houdt je tegen?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Meridiaan publiceert de gemiddelde aanspraak per regeling. Bij één regeling zijn vier deelnemers. Wat is het probleem?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een kleine groep is het gemiddelde herleidbaar tot individuen.</w:t>
      </w:r>
    </w:p>
    <w:p>
      <w:pPr>
        <w:spacing w:after="40" w:line="275"/>
        <w:ind w:left="420"/>
      </w:pPr>
      <w:r>
        <w:rPr>
          <w:rFonts w:ascii="Calibri" w:cs="Calibri" w:eastAsia="Calibri" w:hAnsi="Calibri"/>
          <w:color w:val="5F7375"/>
          <w:sz w:val="19"/>
          <w:szCs w:val="19"/>
        </w:rPr>
        <w:t xml:space="preserve">Aggregatie werkt alleen als privacymaatregel bij voldoende groepsgrootte. Wie aggregeert, moet dus ook een minimale groepsomvang hanteren.</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Waarom is toestemming zelden een passende grondslag bij een pensioenuitvoerder?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toestemming vrij moet zijn, en een deelnemer zijn uitvoerder niet kan weglopen.</w:t>
      </w:r>
    </w:p>
    <w:p>
      <w:pPr>
        <w:spacing w:after="40" w:line="275"/>
        <w:ind w:left="420"/>
      </w:pPr>
      <w:r>
        <w:rPr>
          <w:rFonts w:ascii="Calibri" w:cs="Calibri" w:eastAsia="Calibri" w:hAnsi="Calibri"/>
          <w:color w:val="5F7375"/>
          <w:sz w:val="19"/>
          <w:szCs w:val="19"/>
        </w:rPr>
        <w:t xml:space="preserve">Bij een verplichte relatie is de vrijheid om te weigeren beperkt, waardoor de toestemming niet werkelijk vrij is. Uitvoering van de overeenkomst is hier meestal de passende grondslag.</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betekent verantwoordingsplicht in de praktijk voor een data-analist?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Dat "het klopt wel" niet volstaat: je moet kunnen aantonen dat je aan de beginselen voldoet.</w:t>
      </w:r>
    </w:p>
    <w:p>
      <w:pPr>
        <w:spacing w:after="40" w:line="275"/>
        <w:ind w:left="420"/>
      </w:pPr>
      <w:r>
        <w:rPr>
          <w:rFonts w:ascii="Calibri" w:cs="Calibri" w:eastAsia="Calibri" w:hAnsi="Calibri"/>
          <w:color w:val="5F7375"/>
          <w:sz w:val="19"/>
          <w:szCs w:val="19"/>
        </w:rPr>
        <w:t xml:space="preserve">Aantoonbaarheid vraagt om vastgelegde afwegingen, een verwerkingsregister en te volgen herkomst. Daarom zijn de ketenvragen uit deel 3 en de kwaliteitsregels uit deel 4 bewijsmateriaal.</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Een dataset heet "geanonimiseerd", maar er bestaat bij IT nog een sleuteltabel. Wat is de status?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Gepseudonimiseerd, en dus blijven alle privacyregels gelden.</w:t>
      </w:r>
    </w:p>
    <w:p>
      <w:pPr>
        <w:spacing w:after="40" w:line="275"/>
        <w:ind w:left="420"/>
      </w:pPr>
      <w:r>
        <w:rPr>
          <w:rFonts w:ascii="Calibri" w:cs="Calibri" w:eastAsia="Calibri" w:hAnsi="Calibri"/>
          <w:color w:val="5F7375"/>
          <w:sz w:val="19"/>
          <w:szCs w:val="19"/>
        </w:rPr>
        <w:t xml:space="preserve">Zodra ergens een sleuteltabel bestaat — ook bij een andere afdeling of leverancier — is herleiding mogelijk en is het pseudonimisering. Echte anonimisering is onomkeerbaar.</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Wanneer begint de termijn van 72 uur bij een datalek?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ontdekking van de inbreuk.</w:t>
      </w:r>
    </w:p>
    <w:p>
      <w:pPr>
        <w:spacing w:after="40" w:line="275"/>
        <w:ind w:left="420"/>
      </w:pPr>
      <w:r>
        <w:rPr>
          <w:rFonts w:ascii="Calibri" w:cs="Calibri" w:eastAsia="Calibri" w:hAnsi="Calibri"/>
          <w:color w:val="5F7375"/>
          <w:sz w:val="19"/>
          <w:szCs w:val="19"/>
        </w:rPr>
        <w:t xml:space="preserve">Wachten tot je zeker weet hoe groot het is, is de meest gemaakte fout. De klok loopt intussen door, en die beoordeling is niet jouw rol.</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Wat is de kern van "need to know" bij toegangsverlening?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Toegang omdat je het voor je werk nodig hebt, ongeacht je positie.</w:t>
      </w:r>
    </w:p>
    <w:p>
      <w:pPr>
        <w:spacing w:after="40" w:line="275"/>
        <w:ind w:left="420"/>
      </w:pPr>
      <w:r>
        <w:rPr>
          <w:rFonts w:ascii="Calibri" w:cs="Calibri" w:eastAsia="Calibri" w:hAnsi="Calibri"/>
          <w:color w:val="5F7375"/>
          <w:sz w:val="19"/>
          <w:szCs w:val="19"/>
        </w:rPr>
        <w:t xml:space="preserve">Dit is de moeilijkste regel om vol te houden omdat hij tegen de hiërarchie in gaat: "de directeur wil ook toegang" is geen grond op zichzelf.</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stapeling in autorisatiebeheer?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Rechten die bij een functiewijziging worden toegevoegd en zelden ingetrokken.</w:t>
      </w:r>
    </w:p>
    <w:p>
      <w:pPr>
        <w:spacing w:after="40" w:line="275"/>
        <w:ind w:left="420"/>
      </w:pPr>
      <w:r>
        <w:rPr>
          <w:rFonts w:ascii="Calibri" w:cs="Calibri" w:eastAsia="Calibri" w:hAnsi="Calibri"/>
          <w:color w:val="5F7375"/>
          <w:sz w:val="19"/>
          <w:szCs w:val="19"/>
        </w:rPr>
        <w:t xml:space="preserve">Het is de meest voorkomende bevinding van iedere auditor. Een medewerker met drie functies in vijf jaar heeft doorgaans de rechten van alle drie.</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Een deelnemer dient een inzageverzoek in. Waarom is dat vaak een datamanagementprobleem?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de organisatie niet weet waar alle gegevens over die persoon staan.</w:t>
      </w:r>
    </w:p>
    <w:p>
      <w:pPr>
        <w:spacing w:after="40" w:line="275"/>
        <w:ind w:left="420"/>
      </w:pPr>
      <w:r>
        <w:rPr>
          <w:rFonts w:ascii="Calibri" w:cs="Calibri" w:eastAsia="Calibri" w:hAnsi="Calibri"/>
          <w:color w:val="5F7375"/>
          <w:sz w:val="19"/>
          <w:szCs w:val="19"/>
        </w:rPr>
        <w:t xml:space="preserve">Gegevens staan verspreid over legacy, platform en gedeelde mappen. Het juridische verzoek legt een landschapsprobleem bloot — bij Meridiaan de scheidingsstukken in een gedeelde map.</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Welke ethische vraag is het scherpste signaal dat er iets uit te leggen valt?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Zou de betrokkene verbaasd zijn als hij het wist?</w:t>
      </w:r>
    </w:p>
    <w:p>
      <w:pPr>
        <w:spacing w:after="40" w:line="275"/>
        <w:ind w:left="420"/>
      </w:pPr>
      <w:r>
        <w:rPr>
          <w:rFonts w:ascii="Calibri" w:cs="Calibri" w:eastAsia="Calibri" w:hAnsi="Calibri"/>
          <w:color w:val="5F7375"/>
          <w:sz w:val="19"/>
          <w:szCs w:val="19"/>
        </w:rPr>
        <w:t xml:space="preserve">Verrassing is het bruikbaarste ethische signaal, juist omdat het geen juridische kennis vereist. De AVG is een ondergrens, geen kompas.</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is de rol van de functionaris gegevensbescherming bij een verwerking?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adviseert en houdt toezicht, maar beslist niet over de verwerking zelf.</w:t>
      </w:r>
    </w:p>
    <w:p>
      <w:pPr>
        <w:spacing w:after="40" w:line="275"/>
        <w:ind w:left="420"/>
      </w:pPr>
      <w:r>
        <w:rPr>
          <w:rFonts w:ascii="Calibri" w:cs="Calibri" w:eastAsia="Calibri" w:hAnsi="Calibri"/>
          <w:color w:val="5F7375"/>
          <w:sz w:val="19"/>
          <w:szCs w:val="19"/>
        </w:rPr>
        <w:t xml:space="preserve">De beslissing ligt bij de verwerkingsverantwoordelijke, in de praktijk bij de data owner en de directie. De FG adviseert en houdt toezicht — dat onderscheid wordt vaak verward.</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Marketing wil het deelnemersbestand gebruiken voor een aanbod van een externe partner. Welk beginsel staat het meest onder druk?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Doelbinding</w:t>
      </w:r>
    </w:p>
    <w:p>
      <w:pPr>
        <w:spacing w:after="40" w:line="275"/>
        <w:ind w:left="420"/>
      </w:pPr>
      <w:r>
        <w:rPr>
          <w:rFonts w:ascii="Calibri" w:cs="Calibri" w:eastAsia="Calibri" w:hAnsi="Calibri"/>
          <w:color w:val="5F7375"/>
          <w:sz w:val="19"/>
          <w:szCs w:val="19"/>
        </w:rPr>
        <w:t xml:space="preserve">De gegevens zijn verzameld voor de uitvoering van de pensioenovereenkomst. Gebruik voor een commercieel aanbod van een derde valt daar niet vanzelf binnen.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doe je als eerste wanneer je een mogelijk datalek ontdekt?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direct intern melden via de vastgelegde route, zonder zelf te beoordelen of het ernstig is.</w:t>
      </w:r>
    </w:p>
    <w:p>
      <w:pPr>
        <w:spacing w:after="40" w:line="275"/>
        <w:ind w:left="420"/>
      </w:pPr>
      <w:r>
        <w:rPr>
          <w:rFonts w:ascii="Calibri" w:cs="Calibri" w:eastAsia="Calibri" w:hAnsi="Calibri"/>
          <w:color w:val="5F7375"/>
          <w:sz w:val="19"/>
          <w:szCs w:val="19"/>
        </w:rPr>
        <w:t xml:space="preserve">Zelf beoordelen, zelf oplossen of iets verwijderen zijn alle drie fout — het laatste vernietigt bovendien bewijs. Melden en de beoordeling overlaten aan wie daarvoor is aangewezen.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de AVG een rem op innovatie of een ontwerpeis die betere systemen oplevert?</w:t>
      </w:r>
    </w:p>
    <w:p>
      <w:pPr>
        <w:pStyle w:val="ListParagraph"/>
        <w:numPr>
          <w:ilvl w:val="0"/>
          <w:numId w:val="3"/>
        </w:numPr>
        <w:spacing w:after="70" w:line="280"/>
      </w:pPr>
      <w:r>
        <w:rPr>
          <w:rFonts w:ascii="Calibri" w:cs="Calibri" w:eastAsia="Calibri" w:hAnsi="Calibri"/>
          <w:color w:val="0E1A1C"/>
          <w:sz w:val="21"/>
          <w:szCs w:val="21"/>
        </w:rPr>
        <w:t xml:space="preserve">Zou een pensioenuitvoerder gegevens mogen gebruiken om deelnemers te waarschuwen voor een slechte financiële beslissing die zij zelf willen nemen?</w:t>
      </w:r>
    </w:p>
    <w:p>
      <w:pPr>
        <w:pStyle w:val="ListParagraph"/>
        <w:numPr>
          <w:ilvl w:val="0"/>
          <w:numId w:val="3"/>
        </w:numPr>
        <w:spacing w:after="70" w:line="280"/>
      </w:pPr>
      <w:r>
        <w:rPr>
          <w:rFonts w:ascii="Calibri" w:cs="Calibri" w:eastAsia="Calibri" w:hAnsi="Calibri"/>
          <w:color w:val="0E1A1C"/>
          <w:sz w:val="21"/>
          <w:szCs w:val="21"/>
        </w:rPr>
        <w:t xml:space="preserve">Wie is verantwoordelijk als een model systematisch nadelig uitpakt voor een groep zonder dat iemand dat bedoelde?</w:t>
      </w:r>
    </w:p>
    <w:p>
      <w:pPr>
        <w:pStyle w:val="ListParagraph"/>
        <w:numPr>
          <w:ilvl w:val="0"/>
          <w:numId w:val="3"/>
        </w:numPr>
        <w:spacing w:after="70" w:line="280"/>
      </w:pPr>
      <w:r>
        <w:rPr>
          <w:rFonts w:ascii="Calibri" w:cs="Calibri" w:eastAsia="Calibri" w:hAnsi="Calibri"/>
          <w:color w:val="0E1A1C"/>
          <w:sz w:val="21"/>
          <w:szCs w:val="21"/>
        </w:rPr>
        <w:t xml:space="preserve">Moet een analist weigeren aan een verwerking mee te werken waarvan hij vermoedt dat de grondslag ontbreekt?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ook uitwerken wie verwerkingsverantwoordelijke en wie verwerker is zodra de externe partner betrokken raakt.</w:t>
      </w:r>
    </w:p>
    <w:p>
      <w:pPr>
        <w:pStyle w:val="ListParagraph"/>
        <w:numPr>
          <w:ilvl w:val="0"/>
          <w:numId w:val="2"/>
        </w:numPr>
        <w:spacing w:after="70" w:line="280"/>
      </w:pPr>
      <w:r>
        <w:rPr>
          <w:rFonts w:ascii="Calibri" w:cs="Calibri" w:eastAsia="Calibri" w:hAnsi="Calibri"/>
          <w:color w:val="0E1A1C"/>
          <w:sz w:val="21"/>
          <w:szCs w:val="21"/>
        </w:rPr>
        <w:t xml:space="preserve">Vraag om bij opdracht 4 een toegangsmatrix op te stellen voor drie functies over vijf datasets.</w:t>
      </w:r>
    </w:p>
    <w:p>
      <w:pPr>
        <w:pStyle w:val="ListParagraph"/>
        <w:numPr>
          <w:ilvl w:val="0"/>
          <w:numId w:val="2"/>
        </w:numPr>
        <w:spacing w:after="70" w:line="280"/>
      </w:pPr>
      <w:r>
        <w:rPr>
          <w:rFonts w:ascii="Calibri" w:cs="Calibri" w:eastAsia="Calibri" w:hAnsi="Calibri"/>
          <w:color w:val="0E1A1C"/>
          <w:sz w:val="21"/>
          <w:szCs w:val="21"/>
        </w:rPr>
        <w:t xml:space="preserve">Laat het datalekscenario nogmaals spelen met de rollen omgedraaid: nu als FG die het bericht ontvangt.</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2 tot drie verwerkingen.</w:t>
      </w:r>
    </w:p>
    <w:p>
      <w:pPr>
        <w:pStyle w:val="ListParagraph"/>
        <w:numPr>
          <w:ilvl w:val="0"/>
          <w:numId w:val="2"/>
        </w:numPr>
        <w:spacing w:after="70" w:line="280"/>
      </w:pPr>
      <w:r>
        <w:rPr>
          <w:rFonts w:ascii="Calibri" w:cs="Calibri" w:eastAsia="Calibri" w:hAnsi="Calibri"/>
          <w:color w:val="0E1A1C"/>
          <w:sz w:val="21"/>
          <w:szCs w:val="21"/>
        </w:rPr>
        <w:t xml:space="preserve">Geef bij opdracht 3 de beginselcheck deels voor; het advies schrijven is dan de oefening.</w:t>
      </w:r>
    </w:p>
    <w:p>
      <w:pPr>
        <w:pStyle w:val="ListParagraph"/>
        <w:numPr>
          <w:ilvl w:val="0"/>
          <w:numId w:val="2"/>
        </w:numPr>
        <w:spacing w:after="70" w:line="280"/>
      </w:pPr>
      <w:r>
        <w:rPr>
          <w:rFonts w:ascii="Calibri" w:cs="Calibri" w:eastAsia="Calibri" w:hAnsi="Calibri"/>
          <w:color w:val="0E1A1C"/>
          <w:sz w:val="21"/>
          <w:szCs w:val="21"/>
        </w:rPr>
        <w:t xml:space="preserve">Doe opdracht 5 volledig plenair op het bord in plaats van in groepen.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de AVG uit mijn hoofd kennen?"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Je moet weten wanneer je een vraag moet stellen en aan wie. Op het examen tellen de DMBOK-begrippen rond governance, security en ethiek.</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"Ben ik aansprakelijk als ik iets over het hoofd zie?"</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verwerkingsverantwoordelijke is de organisatie. Jouw verantwoordelijkheid is signaleren en escaleren — en dat is precies waarom de meldroute kennen ertoe doet.</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 Ook voor CIPP/E geldt dat.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met productiedata testen?"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zonder maatregelen. Dit is een klassiek geval voor pseudonimisering of synthetische data — deel 17 werkt dat uit.</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de opdrachtgever mijn advies negeert?"</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 je advies schriftelijk vast en escaleer naar de FG. Dat is geen wantrouwen maar verantwoordingsplicht in de praktijk.</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7 — Governance, privacy en security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privacy en security — Docentenhandleiding</dc:title>
  <dc:creator>Ductus B.V.</dc:creator>
  <dc:description>Cursusmateriaal datamanagement, data-analyse en data governance</dc:description>
  <cp:lastModifiedBy>Un-named</cp:lastModifiedBy>
  <cp:revision>1</cp:revision>
  <dcterms:created xsi:type="dcterms:W3CDTF">2026-08-05T10:35:01.742Z</dcterms:created>
  <dcterms:modified xsi:type="dcterms:W3CDTF">2026-08-05T10:35:01.742Z</dcterms:modified>
</cp:coreProperties>
</file>

<file path=docProps/custom.xml><?xml version="1.0" encoding="utf-8"?>
<Properties xmlns="http://schemas.openxmlformats.org/officeDocument/2006/custom-properties" xmlns:vt="http://schemas.openxmlformats.org/officeDocument/2006/docPropsVTypes"/>
</file>