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7</w:t>
      </w:r>
    </w:p>
    <w:p>
      <w:pPr>
        <w:spacing w:after="120"/>
      </w:pPr>
      <w:r>
        <w:rPr>
          <w:rFonts w:ascii="Cambria" w:cs="Cambria" w:eastAsia="Cambria" w:hAnsi="Cambria"/>
          <w:b/>
          <w:bCs/>
          <w:color w:val="0E1A1C"/>
          <w:sz w:val="56"/>
          <w:szCs w:val="56"/>
        </w:rPr>
        <w:t xml:space="preserve">Governance, privacy en security</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4 uur (2,5 uur klassikaal, 1,5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Governance · Data Security · Ethiek</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Geen juridisch advies</w:t>
            </w:r>
          </w:p>
          <w:p>
            <w:pPr>
              <w:spacing w:after="60" w:line="280"/>
            </w:pPr>
            <w:r>
              <w:rPr>
                <w:rFonts w:ascii="Calibri" w:cs="Calibri" w:eastAsia="Calibri" w:hAnsi="Calibri"/>
                <w:color w:val="0E1A1C"/>
                <w:sz w:val="20"/>
                <w:szCs w:val="20"/>
              </w:rPr>
              <w:t xml:space="preserve">Dit deel geeft het werkkader dat een analist of architect nodig heeft om de juiste vragen te stellen en tijdig te escaleren. Het is geen juridisch advies. In elke concrete casus is de functionaris gegevensbescherming of de huisjurist leidend, en bij twijfel schakel je die in — dat inschakelen zelf is onderdeel van goed vakmanschap.</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Bij Meridiaan gebruikt de marketingafdeling het deelnemersbestand voor een campagne. Niemand heeft gecontroleerd of dat mag. Dat is geen kwaadwillendheid: er is domweg geen moment in het proces waarop die vraag gesteld wordt, en er is niemand aan wie hij gesteld had moeten worden.</w:t>
      </w:r>
    </w:p>
    <w:p>
      <w:pPr>
        <w:spacing w:after="140" w:line="288"/>
      </w:pPr>
      <w:r>
        <w:rPr>
          <w:rFonts w:ascii="Calibri" w:cs="Calibri" w:eastAsia="Calibri" w:hAnsi="Calibri"/>
          <w:color w:val="0E1A1C"/>
          <w:sz w:val="21"/>
          <w:szCs w:val="21"/>
        </w:rPr>
        <w:t xml:space="preserve">Dit deel geeft je het kader om die vraag wél te stellen — en om het antwoord te vinden zonder jurist te zijn. Governance beantwoordt wie beslist, privacy of het mag, security of het beschermd is, en ethiek of het hoort. Vier verschillende vragen, die in de praktijk allemaal op hetzelfde moment opkomen.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legt uit waarom governance een stelsel van besluitrechten is en niet een vergaderstructuur.</w:t>
      </w:r>
    </w:p>
    <w:p>
      <w:pPr>
        <w:pStyle w:val="ListParagraph"/>
        <w:numPr>
          <w:ilvl w:val="0"/>
          <w:numId w:val="2"/>
        </w:numPr>
        <w:spacing w:after="70" w:line="280"/>
      </w:pPr>
      <w:r>
        <w:rPr>
          <w:rFonts w:ascii="Calibri" w:cs="Calibri" w:eastAsia="Calibri" w:hAnsi="Calibri"/>
          <w:color w:val="0E1A1C"/>
          <w:sz w:val="21"/>
          <w:szCs w:val="21"/>
        </w:rPr>
        <w:t xml:space="preserve">Je herkent wanneer een gegeven een persoonsgegeven is, ook wanneer dat niet voor de hand ligt.</w:t>
      </w:r>
    </w:p>
    <w:p>
      <w:pPr>
        <w:pStyle w:val="ListParagraph"/>
        <w:numPr>
          <w:ilvl w:val="0"/>
          <w:numId w:val="2"/>
        </w:numPr>
        <w:spacing w:after="70" w:line="280"/>
      </w:pPr>
      <w:r>
        <w:rPr>
          <w:rFonts w:ascii="Calibri" w:cs="Calibri" w:eastAsia="Calibri" w:hAnsi="Calibri"/>
          <w:color w:val="0E1A1C"/>
          <w:sz w:val="21"/>
          <w:szCs w:val="21"/>
        </w:rPr>
        <w:t xml:space="preserve">Je bepaalt bij een verwerking welke grondslag van toepassing is, en waarom de andere niet.</w:t>
      </w:r>
    </w:p>
    <w:p>
      <w:pPr>
        <w:pStyle w:val="ListParagraph"/>
        <w:numPr>
          <w:ilvl w:val="0"/>
          <w:numId w:val="2"/>
        </w:numPr>
        <w:spacing w:after="70" w:line="280"/>
      </w:pPr>
      <w:r>
        <w:rPr>
          <w:rFonts w:ascii="Calibri" w:cs="Calibri" w:eastAsia="Calibri" w:hAnsi="Calibri"/>
          <w:color w:val="0E1A1C"/>
          <w:sz w:val="21"/>
          <w:szCs w:val="21"/>
        </w:rPr>
        <w:t xml:space="preserve">Je benoemt de zes beginselen van gegevensverwerking en past ze toe op een concrete casus.</w:t>
      </w:r>
    </w:p>
    <w:p>
      <w:pPr>
        <w:pStyle w:val="ListParagraph"/>
        <w:numPr>
          <w:ilvl w:val="0"/>
          <w:numId w:val="2"/>
        </w:numPr>
        <w:spacing w:after="70" w:line="280"/>
      </w:pPr>
      <w:r>
        <w:rPr>
          <w:rFonts w:ascii="Calibri" w:cs="Calibri" w:eastAsia="Calibri" w:hAnsi="Calibri"/>
          <w:color w:val="0E1A1C"/>
          <w:sz w:val="21"/>
          <w:szCs w:val="21"/>
        </w:rPr>
        <w:t xml:space="preserve">Je classificeert een dataset en leidt daaruit het toegangsregime af.</w:t>
      </w:r>
    </w:p>
    <w:p>
      <w:pPr>
        <w:pStyle w:val="ListParagraph"/>
        <w:numPr>
          <w:ilvl w:val="0"/>
          <w:numId w:val="2"/>
        </w:numPr>
        <w:spacing w:after="70" w:line="280"/>
      </w:pPr>
      <w:r>
        <w:rPr>
          <w:rFonts w:ascii="Calibri" w:cs="Calibri" w:eastAsia="Calibri" w:hAnsi="Calibri"/>
          <w:color w:val="0E1A1C"/>
          <w:sz w:val="21"/>
          <w:szCs w:val="21"/>
        </w:rPr>
        <w:t xml:space="preserve">Je onderscheidt pseudonimiseren van anonimiseren en kent het gevolg voor de regels.</w:t>
      </w:r>
    </w:p>
    <w:p>
      <w:pPr>
        <w:pStyle w:val="ListParagraph"/>
        <w:numPr>
          <w:ilvl w:val="0"/>
          <w:numId w:val="2"/>
        </w:numPr>
        <w:spacing w:after="70" w:line="280"/>
      </w:pPr>
      <w:r>
        <w:rPr>
          <w:rFonts w:ascii="Calibri" w:cs="Calibri" w:eastAsia="Calibri" w:hAnsi="Calibri"/>
          <w:color w:val="0E1A1C"/>
          <w:sz w:val="21"/>
          <w:szCs w:val="21"/>
        </w:rPr>
        <w:t xml:space="preserve">Je herkent een datalek en weet welke stap je binnen welke termijn zet.</w:t>
      </w:r>
    </w:p>
    <w:p>
      <w:r>
        <w:br w:type="page"/>
      </w:r>
    </w:p>
    <w:p>
      <w:pPr>
        <w:pStyle w:val="Heading1"/>
        <w:spacing w:after="200" w:before="420"/>
      </w:pPr>
      <w:r>
        <w:rPr>
          <w:rFonts w:ascii="Cambria" w:cs="Cambria" w:eastAsia="Cambria" w:hAnsi="Cambria"/>
          <w:b/>
          <w:bCs/>
          <w:color w:val="1B4A48"/>
          <w:sz w:val="34"/>
          <w:szCs w:val="34"/>
        </w:rPr>
        <w:t xml:space="preserve">2. Governance: wie beslist</w:t>
      </w:r>
    </w:p>
    <w:p>
      <w:pPr>
        <w:spacing w:after="140" w:line="288"/>
      </w:pPr>
      <w:r>
        <w:rPr>
          <w:rFonts w:ascii="Calibri" w:cs="Calibri" w:eastAsia="Calibri" w:hAnsi="Calibri"/>
          <w:color w:val="0E1A1C"/>
          <w:sz w:val="21"/>
          <w:szCs w:val="21"/>
        </w:rPr>
        <w:t xml:space="preserve">Data governance is het geheel van besluitrechten en verantwoordingslijnen over data. Niet meer, en zeker niet minder. Het doet twee dingen: schaarste verdelen — aandacht, budget, de tijd van beheerders — en conflicten beslechten, over definities, eigenaarschap en toegang.</w:t>
      </w:r>
    </w:p>
    <w:p>
      <w:pPr>
        <w:spacing w:after="140" w:line="288"/>
      </w:pPr>
      <w:r>
        <w:rPr>
          <w:rFonts w:ascii="Calibri" w:cs="Calibri" w:eastAsia="Calibri" w:hAnsi="Calibri"/>
          <w:color w:val="0E1A1C"/>
          <w:sz w:val="21"/>
          <w:szCs w:val="21"/>
        </w:rPr>
        <w:t xml:space="preserve">Voor niveau 1 volstaat dat je de vraag herkent. Deel 16 bouwt hier het volledige inrichtingsmodel op. Wat je nu al moet kunnen is dit: bij elk datavraagstuk vaststellen of het een governance-vraag is — en dat is het geval zodra het antwoord afhangt van iemands bevoegdheid in plaats van van iemands kennis.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w:t>
            </w:r>
          </w:p>
          <w:p>
            <w:pPr>
              <w:spacing w:after="60" w:line="280"/>
            </w:pPr>
            <w:r>
              <w:rPr>
                <w:rFonts w:ascii="Calibri" w:cs="Calibri" w:eastAsia="Calibri" w:hAnsi="Calibri"/>
                <w:color w:val="0E1A1C"/>
                <w:sz w:val="20"/>
                <w:szCs w:val="20"/>
              </w:rPr>
              <w:t xml:space="preserve">"Mag marketing dit bestand gebruiken?" is geen technische vraag en geen kwaliteitsvraag. Het antwoord hangt af van wie daarover gaat. Zolang niemand kan zeggen wie dat is, is het een governanceprobleem — en het blijft terugkomen tot dat belegd is.</w:t>
            </w:r>
          </w:p>
        </w:tc>
      </w:tr>
    </w:tbl>
    <w:p>
      <w:pPr>
        <w:pStyle w:val="Heading3"/>
        <w:spacing w:after="100" w:before="240"/>
      </w:pPr>
      <w:r>
        <w:rPr>
          <w:rFonts w:ascii="Calibri" w:cs="Calibri" w:eastAsia="Calibri" w:hAnsi="Calibri"/>
          <w:b/>
          <w:bCs/>
          <w:color w:val="3F7D74"/>
          <w:sz w:val="22"/>
          <w:szCs w:val="22"/>
        </w:rPr>
        <w:t xml:space="preserve">De rollen uit deel 1, nu met bevoegdheid</w:t>
      </w:r>
    </w:p>
    <w:p>
      <w:pPr>
        <w:pStyle w:val="ListParagraph"/>
        <w:numPr>
          <w:ilvl w:val="0"/>
          <w:numId w:val="3"/>
        </w:numPr>
        <w:spacing w:after="70" w:line="280"/>
      </w:pPr>
      <w:r>
        <w:rPr>
          <w:rFonts w:ascii="Calibri" w:cs="Calibri" w:eastAsia="Calibri" w:hAnsi="Calibri"/>
          <w:color w:val="0E1A1C"/>
          <w:sz w:val="21"/>
          <w:szCs w:val="21"/>
        </w:rPr>
        <w:t xml:space="preserve">De data owner beslist over betekenis, kwaliteitsnorm en toegang binnen zijn domein.</w:t>
      </w:r>
    </w:p>
    <w:p>
      <w:pPr>
        <w:pStyle w:val="ListParagraph"/>
        <w:numPr>
          <w:ilvl w:val="0"/>
          <w:numId w:val="3"/>
        </w:numPr>
        <w:spacing w:after="70" w:line="280"/>
      </w:pPr>
      <w:r>
        <w:rPr>
          <w:rFonts w:ascii="Calibri" w:cs="Calibri" w:eastAsia="Calibri" w:hAnsi="Calibri"/>
          <w:color w:val="0E1A1C"/>
          <w:sz w:val="21"/>
          <w:szCs w:val="21"/>
        </w:rPr>
        <w:t xml:space="preserve">De steward voert uit en adviseert, maar beslist niet.</w:t>
      </w:r>
    </w:p>
    <w:p>
      <w:pPr>
        <w:pStyle w:val="ListParagraph"/>
        <w:numPr>
          <w:ilvl w:val="0"/>
          <w:numId w:val="3"/>
        </w:numPr>
        <w:spacing w:after="70" w:line="280"/>
      </w:pPr>
      <w:r>
        <w:rPr>
          <w:rFonts w:ascii="Calibri" w:cs="Calibri" w:eastAsia="Calibri" w:hAnsi="Calibri"/>
          <w:color w:val="0E1A1C"/>
          <w:sz w:val="21"/>
          <w:szCs w:val="21"/>
        </w:rPr>
        <w:t xml:space="preserve">De custodian beheert de opslag en de technische toegang; hij bepaalt niet wie toegang krijgt.</w:t>
      </w:r>
    </w:p>
    <w:p>
      <w:pPr>
        <w:pStyle w:val="ListParagraph"/>
        <w:numPr>
          <w:ilvl w:val="0"/>
          <w:numId w:val="3"/>
        </w:numPr>
        <w:spacing w:after="70" w:line="280"/>
      </w:pPr>
      <w:r>
        <w:rPr>
          <w:rFonts w:ascii="Calibri" w:cs="Calibri" w:eastAsia="Calibri" w:hAnsi="Calibri"/>
          <w:color w:val="0E1A1C"/>
          <w:sz w:val="21"/>
          <w:szCs w:val="21"/>
        </w:rPr>
        <w:t xml:space="preserve">De functionaris gegevensbescherming adviseert en houdt toezicht — hij is nadrukkelijk geen beslisser over de verwerking zelf.</w:t>
      </w:r>
    </w:p>
    <w:p>
      <w:pPr>
        <w:pStyle w:val="Heading1"/>
        <w:spacing w:after="200" w:before="420"/>
      </w:pPr>
      <w:r>
        <w:rPr>
          <w:rFonts w:ascii="Cambria" w:cs="Cambria" w:eastAsia="Cambria" w:hAnsi="Cambria"/>
          <w:b/>
          <w:bCs/>
          <w:color w:val="1B4A48"/>
          <w:sz w:val="34"/>
          <w:szCs w:val="34"/>
        </w:rPr>
        <w:t xml:space="preserve">3. Wanneer is iets een persoonsgegeven?</w:t>
      </w:r>
    </w:p>
    <w:p>
      <w:pPr>
        <w:spacing w:after="140" w:line="288"/>
      </w:pPr>
      <w:r>
        <w:rPr>
          <w:rFonts w:ascii="Calibri" w:cs="Calibri" w:eastAsia="Calibri" w:hAnsi="Calibri"/>
          <w:color w:val="0E1A1C"/>
          <w:sz w:val="21"/>
          <w:szCs w:val="21"/>
        </w:rPr>
        <w:t xml:space="preserve">Een persoonsgegeven is elk gegeven over een geïdentificeerde of identificeerbare natuurlijke persoon. Dat "identificeerbaar" is waar het in de praktijk misgaat: het gaat niet alleen om wat het gegeven zelf zegt, maar om wat er met redelijke middelen mee te herleiden valt — eventueel in combinatie met andere gegevens.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2400"/>
        <w:gridCol w:w="42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Gegeven</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Persoonsgegeven?</w:t>
            </w:r>
          </w:p>
        </w:tc>
        <w:tc>
          <w:tcPr>
            <w:tcW w:type="dxa" w:w="4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Waarom</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Naam en geboortedatum</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 identificerend</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Burgerservicenummer</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met extra bescherming</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Uniek identificerend en wettelijk beperkt in gebruik</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Deelnemernummer</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Herleidbaar met de sleuteltabel die de organisatie zelf heeft</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Postcode plus huisnummer</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Nederland vrijwel altijd tot één adres herleidbaar</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Gemiddelde aanspraak per regeling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mits de groep groot genoeg is</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tot een individu te herleiden</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IP-adres uit portaallogs</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Herleidbaar in combinatie met andere gegevens</w:t>
            </w:r>
          </w:p>
        </w:tc>
      </w:tr>
    </w:tbl>
    <w:p>
      <w:pPr>
        <w:spacing w:after="140"/>
      </w:pPr>
      <w:r>
        <w:t xml:space="preserve"/>
      </w:r>
    </w:p>
    <w:p>
      <w:pPr>
        <w:spacing w:after="140" w:line="288"/>
      </w:pPr>
      <w:r>
        <w:rPr>
          <w:rFonts w:ascii="Calibri" w:cs="Calibri" w:eastAsia="Calibri" w:hAnsi="Calibri"/>
          <w:color w:val="0E1A1C"/>
          <w:sz w:val="21"/>
          <w:szCs w:val="21"/>
        </w:rPr>
        <w:t xml:space="preserve">Let op de vijfde rij: een geaggregeerd getal is geen persoonsgegeven zolang de groep groot genoeg is. Bij een regeling met vier deelnemers is het gemiddelde wél herleidbaar. Wie aggregatie als privacymaatregel gebruikt, moet dus ook een minimale groepsgrootte hanteren.</w:t>
      </w:r>
    </w:p>
    <w:p>
      <w:pPr>
        <w:pStyle w:val="Heading3"/>
        <w:spacing w:after="100" w:before="240"/>
      </w:pPr>
      <w:r>
        <w:rPr>
          <w:rFonts w:ascii="Calibri" w:cs="Calibri" w:eastAsia="Calibri" w:hAnsi="Calibri"/>
          <w:b/>
          <w:bCs/>
          <w:color w:val="3F7D74"/>
          <w:sz w:val="22"/>
          <w:szCs w:val="22"/>
        </w:rPr>
        <w:t xml:space="preserve">Bijzondere categorieën</w:t>
      </w:r>
    </w:p>
    <w:p>
      <w:pPr>
        <w:spacing w:after="140" w:line="288"/>
      </w:pPr>
      <w:r>
        <w:rPr>
          <w:rFonts w:ascii="Calibri" w:cs="Calibri" w:eastAsia="Calibri" w:hAnsi="Calibri"/>
          <w:color w:val="0E1A1C"/>
          <w:sz w:val="21"/>
          <w:szCs w:val="21"/>
        </w:rPr>
        <w:t xml:space="preserve">Sommige gegevens hebben extra bescherming, waaronder gegevens over gezondheid. Bij een pensioenuitvoerder is dat direct relevant: arbeidsongeschiktheidsgegevens zijn gezondheidsgegevens. Ook gegevens die er indirect op wijzen — een regeling die uitsluitend voor arbeidsongeschikten bestaat — verdienen dezelfde behandeling. Dat is precies het soort geval waarin je de functionaris gegevensbescherming betrekt in plaats van zelf te concluderen.</w:t>
      </w:r>
    </w:p>
    <w:p>
      <w:r>
        <w:br w:type="page"/>
      </w:r>
    </w:p>
    <w:p>
      <w:pPr>
        <w:pStyle w:val="Heading1"/>
        <w:spacing w:after="200" w:before="420"/>
      </w:pPr>
      <w:r>
        <w:rPr>
          <w:rFonts w:ascii="Cambria" w:cs="Cambria" w:eastAsia="Cambria" w:hAnsi="Cambria"/>
          <w:b/>
          <w:bCs/>
          <w:color w:val="1B4A48"/>
          <w:sz w:val="34"/>
          <w:szCs w:val="34"/>
        </w:rPr>
        <w:t xml:space="preserve">4. Grondslag en beginselen</w:t>
      </w:r>
    </w:p>
    <w:p>
      <w:pPr>
        <w:spacing w:after="140" w:line="288"/>
      </w:pPr>
      <w:r>
        <w:rPr>
          <w:rFonts w:ascii="Calibri" w:cs="Calibri" w:eastAsia="Calibri" w:hAnsi="Calibri"/>
          <w:color w:val="0E1A1C"/>
          <w:sz w:val="21"/>
          <w:szCs w:val="21"/>
        </w:rPr>
        <w:t xml:space="preserve">Elke verwerking van persoonsgegevens heeft een grondslag nodig. Er zijn er zes, en je kiest er precies één per verwerkingsdoel — niet een combinatie, en niet achteraf een andere als de eerste niet blijkt te werken.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300"/>
        <w:gridCol w:w="3000"/>
        <w:gridCol w:w="3720"/>
      </w:tblGrid>
      <w:tr>
        <w:trPr>
          <w:tblHeader/>
        </w:trPr>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Grondslag</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Toestemming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Aanmelding voor een nieuwsbrief</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vrij, specifiek en intrekbaar zijn; bij een verplichte relatie zelden passend</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Uitvoering overeenkomst</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pensioenadministratie zelf</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meest gebruikte grondslag in deze sector</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Wettelijke verplichting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Aanlevering aan de toezichthouder</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wet moet de verwerking daadwerkelijk voorschrijven</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Vitaal belang</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Zeldzaam in deze context</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bij levensbedreigende situaties</w:t>
            </w:r>
          </w:p>
        </w:tc>
      </w:tr>
      <w:tr>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Algemeen belang of openbaar gezag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bij een private uitvoerder</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Vooral relevant bij overheidstaken</w:t>
            </w:r>
          </w:p>
        </w:tc>
      </w:tr>
      <w:tr>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Gerechtvaardigd belang</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Fraudedetectie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een afweging tegen het belang van de betrokkene, en die afweging leg je vast</w:t>
            </w:r>
          </w:p>
        </w:tc>
      </w:tr>
    </w:tbl>
    <w:p>
      <w:pPr>
        <w:spacing w:after="160"/>
      </w:pPr>
      <w:r>
        <w:t xml:space="preserve"/>
      </w:r>
    </w:p>
    <w:p>
      <w:pPr>
        <w:pStyle w:val="Heading3"/>
        <w:spacing w:after="100" w:before="240"/>
      </w:pPr>
      <w:r>
        <w:rPr>
          <w:rFonts w:ascii="Calibri" w:cs="Calibri" w:eastAsia="Calibri" w:hAnsi="Calibri"/>
          <w:b/>
          <w:bCs/>
          <w:color w:val="3F7D74"/>
          <w:sz w:val="22"/>
          <w:szCs w:val="22"/>
        </w:rPr>
        <w:t xml:space="preserve">De zes beginselen</w:t>
      </w:r>
    </w:p>
    <w:p>
      <w:pPr>
        <w:pStyle w:val="ListParagraph"/>
        <w:numPr>
          <w:ilvl w:val="0"/>
          <w:numId w:val="4"/>
        </w:numPr>
        <w:spacing w:after="70" w:line="280"/>
      </w:pPr>
      <w:r>
        <w:rPr>
          <w:rFonts w:ascii="Calibri" w:cs="Calibri" w:eastAsia="Calibri" w:hAnsi="Calibri"/>
          <w:color w:val="0E1A1C"/>
          <w:sz w:val="21"/>
          <w:szCs w:val="21"/>
        </w:rPr>
        <w:t xml:space="preserve">Doelbinding: je verzamelt voor een bepaald doel en gebruikt het niet zomaar voor een ander.</w:t>
      </w:r>
    </w:p>
    <w:p>
      <w:pPr>
        <w:pStyle w:val="ListParagraph"/>
        <w:numPr>
          <w:ilvl w:val="0"/>
          <w:numId w:val="4"/>
        </w:numPr>
        <w:spacing w:after="70" w:line="280"/>
      </w:pPr>
      <w:r>
        <w:rPr>
          <w:rFonts w:ascii="Calibri" w:cs="Calibri" w:eastAsia="Calibri" w:hAnsi="Calibri"/>
          <w:color w:val="0E1A1C"/>
          <w:sz w:val="21"/>
          <w:szCs w:val="21"/>
        </w:rPr>
        <w:t xml:space="preserve">Minimalisatie: niet meer gegevens dan nodig voor dat doel.</w:t>
      </w:r>
    </w:p>
    <w:p>
      <w:pPr>
        <w:pStyle w:val="ListParagraph"/>
        <w:numPr>
          <w:ilvl w:val="0"/>
          <w:numId w:val="4"/>
        </w:numPr>
        <w:spacing w:after="70" w:line="280"/>
      </w:pPr>
      <w:r>
        <w:rPr>
          <w:rFonts w:ascii="Calibri" w:cs="Calibri" w:eastAsia="Calibri" w:hAnsi="Calibri"/>
          <w:color w:val="0E1A1C"/>
          <w:sz w:val="21"/>
          <w:szCs w:val="21"/>
        </w:rPr>
        <w:t xml:space="preserve">Juistheid: de gegevens moeten kloppen en actueel zijn — hier grijpt deel 4 direct in.</w:t>
      </w:r>
    </w:p>
    <w:p>
      <w:pPr>
        <w:pStyle w:val="ListParagraph"/>
        <w:numPr>
          <w:ilvl w:val="0"/>
          <w:numId w:val="4"/>
        </w:numPr>
        <w:spacing w:after="70" w:line="280"/>
      </w:pPr>
      <w:r>
        <w:rPr>
          <w:rFonts w:ascii="Calibri" w:cs="Calibri" w:eastAsia="Calibri" w:hAnsi="Calibri"/>
          <w:color w:val="0E1A1C"/>
          <w:sz w:val="21"/>
          <w:szCs w:val="21"/>
        </w:rPr>
        <w:t xml:space="preserve">Opslagbeperking: niet langer bewaren dan nodig.</w:t>
      </w:r>
    </w:p>
    <w:p>
      <w:pPr>
        <w:pStyle w:val="ListParagraph"/>
        <w:numPr>
          <w:ilvl w:val="0"/>
          <w:numId w:val="4"/>
        </w:numPr>
        <w:spacing w:after="70" w:line="280"/>
      </w:pPr>
      <w:r>
        <w:rPr>
          <w:rFonts w:ascii="Calibri" w:cs="Calibri" w:eastAsia="Calibri" w:hAnsi="Calibri"/>
          <w:color w:val="0E1A1C"/>
          <w:sz w:val="21"/>
          <w:szCs w:val="21"/>
        </w:rPr>
        <w:t xml:space="preserve">Integriteit en vertrouwelijkheid: passend beschermd tegen verlies en onbevoegde toegang.</w:t>
      </w:r>
    </w:p>
    <w:p>
      <w:pPr>
        <w:pStyle w:val="ListParagraph"/>
        <w:numPr>
          <w:ilvl w:val="0"/>
          <w:numId w:val="4"/>
        </w:numPr>
        <w:spacing w:after="70" w:line="280"/>
      </w:pPr>
      <w:r>
        <w:rPr>
          <w:rFonts w:ascii="Calibri" w:cs="Calibri" w:eastAsia="Calibri" w:hAnsi="Calibri"/>
          <w:color w:val="0E1A1C"/>
          <w:sz w:val="21"/>
          <w:szCs w:val="21"/>
        </w:rPr>
        <w:t xml:space="preserve">Verantwoordingsplicht: je moet kunnen aantónen dat je aan de andere vijf voldoet.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het laatste beginsel jouw werk raakt</w:t>
            </w:r>
          </w:p>
          <w:p>
            <w:pPr>
              <w:spacing w:after="60" w:line="280"/>
            </w:pPr>
            <w:r>
              <w:rPr>
                <w:rFonts w:ascii="Calibri" w:cs="Calibri" w:eastAsia="Calibri" w:hAnsi="Calibri"/>
                <w:color w:val="0E1A1C"/>
                <w:sz w:val="20"/>
                <w:szCs w:val="20"/>
              </w:rPr>
              <w:t xml:space="preserve">Verantwoordingsplicht betekent dat "het klopt wel" niet volstaat. Je moet het kunnen laten zien — met een verwerkingsregister, met vastgelegde afwegingen, met herkomst die te volgen is. Dat is precies waarom de ketenvragen uit deel 3 en de kwaliteitsregels uit deel 4 geen luxe zijn: ze zijn het bewijsmateriaal.</w:t>
            </w:r>
          </w:p>
        </w:tc>
      </w:tr>
    </w:tbl>
    <w:p>
      <w:pPr>
        <w:pStyle w:val="Heading1"/>
        <w:spacing w:after="200" w:before="420"/>
      </w:pPr>
      <w:r>
        <w:rPr>
          <w:rFonts w:ascii="Cambria" w:cs="Cambria" w:eastAsia="Cambria" w:hAnsi="Cambria"/>
          <w:b/>
          <w:bCs/>
          <w:color w:val="1B4A48"/>
          <w:sz w:val="34"/>
          <w:szCs w:val="34"/>
        </w:rPr>
        <w:t xml:space="preserve">5. Rechten van betrokkenen</w:t>
      </w:r>
    </w:p>
    <w:p>
      <w:pPr>
        <w:spacing w:after="140" w:line="288"/>
      </w:pPr>
      <w:r>
        <w:rPr>
          <w:rFonts w:ascii="Calibri" w:cs="Calibri" w:eastAsia="Calibri" w:hAnsi="Calibri"/>
          <w:color w:val="0E1A1C"/>
          <w:sz w:val="21"/>
          <w:szCs w:val="21"/>
        </w:rPr>
        <w:t xml:space="preserve">Deelnemers hebben rechten die de organisatie moet kunnen uitvoeren. Vanuit jouw vak is de vraag vooral: kán het systeem dit eigenlijk?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300"/>
        <w:gridCol w:w="40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Recht</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Betekent</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het technisch stukloopt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Inzage</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overzicht van wat er over iemand is vastgelegd</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Gegevens staan verspreid over legacy, platform en gedeelde mappen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Rectificatie</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Onjuiste gegevens laten corrigeren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Correctie in de bron werkt niet door in alle kopieën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Wissing</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Verwijdering, waar geen bewaarplicht geldt</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Kopieën, back-ups en exports blijven achter</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Beperking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Tijdelijk niet verder verwerken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Systemen kennen vaak geen status "bevroren"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Overdraagbaarheid</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eigen gegevens in gangbaar formaat meekrijgen</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Export bestaat niet of bevat afgeleide velden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Bezwaar</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Verzet tegen een verwerking</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geen registratie van eerder bezwaar, dus het herhaalt zich</w:t>
            </w:r>
          </w:p>
        </w:tc>
      </w:tr>
    </w:tbl>
    <w:p>
      <w:pPr>
        <w:spacing w:after="140"/>
      </w:pPr>
      <w:r>
        <w:t xml:space="preserve"/>
      </w:r>
    </w:p>
    <w:p>
      <w:pPr>
        <w:spacing w:after="140" w:line="288"/>
      </w:pPr>
      <w:r>
        <w:rPr>
          <w:rFonts w:ascii="Calibri" w:cs="Calibri" w:eastAsia="Calibri" w:hAnsi="Calibri"/>
          <w:color w:val="0E1A1C"/>
          <w:sz w:val="21"/>
          <w:szCs w:val="21"/>
        </w:rPr>
        <w:t xml:space="preserve">De rechterkolom is jouw domein. Een organisatie die niet weet waar gegevens staan, kan geen inzageverzoek beantwoorden — en dat is een datamanagementprobleem dat zich voordoet als een juridisch probleem. Bij Meridiaan liggen de scheidingsstukken als PDF in een gedeelde map, zoals in deel 2 al bleek. Daar loopt het eerste inzageverzoek op stuk.</w:t>
      </w:r>
    </w:p>
    <w:p>
      <w:r>
        <w:br w:type="page"/>
      </w:r>
    </w:p>
    <w:p>
      <w:pPr>
        <w:pStyle w:val="Heading1"/>
        <w:spacing w:after="200" w:before="420"/>
      </w:pPr>
      <w:r>
        <w:rPr>
          <w:rFonts w:ascii="Cambria" w:cs="Cambria" w:eastAsia="Cambria" w:hAnsi="Cambria"/>
          <w:b/>
          <w:bCs/>
          <w:color w:val="1B4A48"/>
          <w:sz w:val="34"/>
          <w:szCs w:val="34"/>
        </w:rPr>
        <w:t xml:space="preserve">6. Classificatie en het CIA-drieluik</w:t>
      </w:r>
    </w:p>
    <w:p>
      <w:pPr>
        <w:spacing w:after="140" w:line="288"/>
      </w:pPr>
      <w:r>
        <w:rPr>
          <w:rFonts w:ascii="Calibri" w:cs="Calibri" w:eastAsia="Calibri" w:hAnsi="Calibri"/>
          <w:color w:val="0E1A1C"/>
          <w:sz w:val="21"/>
          <w:szCs w:val="21"/>
        </w:rPr>
        <w:t xml:space="preserve">Beveiliging begint met classificeren: niet alles hoeft even zwaar beschermd, en wie alles maximaal beveiligt, maakt werken onmogelijk en krijgt schaduw-oplossingen terug.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000"/>
        <w:gridCol w:w="40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Aspect</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Vertrouwelijkheid</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mag dit zien?</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Arbeidsongeschiktheidsgegevens: alleen benoemde medewerkers</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Integriteit</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 het ongemerkt gewijzigd worden?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gewijzigd IBAN zonder controle is direct financieel risico</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Beschikbaarheid</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het er even niet is?</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uitbetaling mag geen dag stilliggen — de RTO uit deel 3</w:t>
            </w:r>
          </w:p>
        </w:tc>
      </w:tr>
    </w:tbl>
    <w:p>
      <w:pPr>
        <w:spacing w:after="140"/>
      </w:pPr>
      <w:r>
        <w:t xml:space="preserve"/>
      </w:r>
    </w:p>
    <w:p>
      <w:pPr>
        <w:spacing w:after="140" w:line="288"/>
      </w:pPr>
      <w:r>
        <w:rPr>
          <w:rFonts w:ascii="Calibri" w:cs="Calibri" w:eastAsia="Calibri" w:hAnsi="Calibri"/>
          <w:color w:val="0E1A1C"/>
          <w:sz w:val="21"/>
          <w:szCs w:val="21"/>
        </w:rPr>
        <w:t xml:space="preserve">Uit de classificatie volgt het toegangsregime. De vuistregel is need to know: toegang omdat je het voor je werk nodig hebt, niet omdat je functie hoog genoeg is. In de praktijk is dat de moeilijkste regel om vol te houden, omdat hij tegen de hiërarchie in gaat.</w:t>
      </w:r>
    </w:p>
    <w:p>
      <w:pPr>
        <w:pStyle w:val="Heading3"/>
        <w:spacing w:after="100" w:before="240"/>
      </w:pPr>
      <w:r>
        <w:rPr>
          <w:rFonts w:ascii="Calibri" w:cs="Calibri" w:eastAsia="Calibri" w:hAnsi="Calibri"/>
          <w:b/>
          <w:bCs/>
          <w:color w:val="3F7D74"/>
          <w:sz w:val="22"/>
          <w:szCs w:val="22"/>
        </w:rPr>
        <w:t xml:space="preserve">Autorisatiebeheer in drie vragen</w:t>
      </w:r>
    </w:p>
    <w:p>
      <w:pPr>
        <w:pStyle w:val="ListParagraph"/>
        <w:numPr>
          <w:ilvl w:val="0"/>
          <w:numId w:val="3"/>
        </w:numPr>
        <w:spacing w:after="70" w:line="280"/>
      </w:pPr>
      <w:r>
        <w:rPr>
          <w:rFonts w:ascii="Calibri" w:cs="Calibri" w:eastAsia="Calibri" w:hAnsi="Calibri"/>
          <w:color w:val="0E1A1C"/>
          <w:sz w:val="21"/>
          <w:szCs w:val="21"/>
        </w:rPr>
        <w:t xml:space="preserve">Wie heeft nu toegang, en waarom? De meeste organisaties kunnen de tweede helft niet beantwoorden.</w:t>
      </w:r>
    </w:p>
    <w:p>
      <w:pPr>
        <w:pStyle w:val="ListParagraph"/>
        <w:numPr>
          <w:ilvl w:val="0"/>
          <w:numId w:val="3"/>
        </w:numPr>
        <w:spacing w:after="70" w:line="280"/>
      </w:pPr>
      <w:r>
        <w:rPr>
          <w:rFonts w:ascii="Calibri" w:cs="Calibri" w:eastAsia="Calibri" w:hAnsi="Calibri"/>
          <w:color w:val="0E1A1C"/>
          <w:sz w:val="21"/>
          <w:szCs w:val="21"/>
        </w:rPr>
        <w:t xml:space="preserve">Wanneer is dat voor het laatst gecontroleerd? Een jaarlijkse herbeoordeling is het minimum.</w:t>
      </w:r>
    </w:p>
    <w:p>
      <w:pPr>
        <w:pStyle w:val="ListParagraph"/>
        <w:numPr>
          <w:ilvl w:val="0"/>
          <w:numId w:val="3"/>
        </w:numPr>
        <w:spacing w:after="70" w:line="280"/>
      </w:pPr>
      <w:r>
        <w:rPr>
          <w:rFonts w:ascii="Calibri" w:cs="Calibri" w:eastAsia="Calibri" w:hAnsi="Calibri"/>
          <w:color w:val="0E1A1C"/>
          <w:sz w:val="21"/>
          <w:szCs w:val="21"/>
        </w:rPr>
        <w:t xml:space="preserve">Wat gebeurt er bij een functiewijziging? Rechten worden bij een overstap vrijwel altijd toegevoegd en zelden ingetrokken — dat heet stapeling en het is de meest voorkomende bevinding van iedere auditor.</w:t>
      </w:r>
    </w:p>
    <w:p>
      <w:pPr>
        <w:pStyle w:val="Heading1"/>
        <w:spacing w:after="200" w:before="420"/>
      </w:pPr>
      <w:r>
        <w:rPr>
          <w:rFonts w:ascii="Cambria" w:cs="Cambria" w:eastAsia="Cambria" w:hAnsi="Cambria"/>
          <w:b/>
          <w:bCs/>
          <w:color w:val="1B4A48"/>
          <w:sz w:val="34"/>
          <w:szCs w:val="34"/>
        </w:rPr>
        <w:t xml:space="preserve">7. Pseudonimiseren en anonimiseren</w:t>
      </w:r>
    </w:p>
    <w:p>
      <w:pPr>
        <w:spacing w:after="140" w:line="288"/>
      </w:pPr>
      <w:r>
        <w:rPr>
          <w:rFonts w:ascii="Calibri" w:cs="Calibri" w:eastAsia="Calibri" w:hAnsi="Calibri"/>
          <w:color w:val="0E1A1C"/>
          <w:sz w:val="21"/>
          <w:szCs w:val="21"/>
        </w:rPr>
        <w:t xml:space="preserve">Dit onderscheid is klein in woorden en groot in gevolgen.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Pseudonimiseren</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Anonimiseren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gebeurt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Identificerende gegevens vervangen door een sleutel</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Herleiding tot een persoon onmogelijk gemaakt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Omkeerbaar</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met de sleuteltabel</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en dat is de eis</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Nog persoonsgegeven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 de regels blijven volledig gelden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 de privacyregels gelden niet meer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Analyse binnen de organisatie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Publicatie, extern delen, onderzoek</w:t>
            </w:r>
          </w:p>
        </w:tc>
      </w:tr>
    </w:tbl>
    <w:p>
      <w:pPr>
        <w:spacing w:after="140"/>
      </w:pPr>
      <w:r>
        <w:t xml:space="preserve"/>
      </w:r>
    </w:p>
    <w:p>
      <w:pPr>
        <w:spacing w:after="140" w:line="288"/>
      </w:pPr>
      <w:r>
        <w:rPr>
          <w:rFonts w:ascii="Calibri" w:cs="Calibri" w:eastAsia="Calibri" w:hAnsi="Calibri"/>
          <w:color w:val="0E1A1C"/>
          <w:sz w:val="21"/>
          <w:szCs w:val="21"/>
        </w:rPr>
        <w:t xml:space="preserve">De valkuil: wat "geanonimiseerd" heet, is bijna altijd gepseudonimiseerd. Zodra ergens een sleuteltabel bestaat — ook bij een andere afdeling of bij een leverancier — is het pseudonimisering en blijven alle regels gelden. Echte anonimisering is moeilijker dan het lijkt, want een combinatie van geboortejaar, postcode en regeling kan één persoon opleveren zonder dat er een naam in staat.</w:t>
      </w:r>
    </w:p>
    <w:p>
      <w:pPr>
        <w:pStyle w:val="Heading1"/>
        <w:spacing w:after="200" w:before="420"/>
      </w:pPr>
      <w:r>
        <w:rPr>
          <w:rFonts w:ascii="Cambria" w:cs="Cambria" w:eastAsia="Cambria" w:hAnsi="Cambria"/>
          <w:b/>
          <w:bCs/>
          <w:color w:val="1B4A48"/>
          <w:sz w:val="34"/>
          <w:szCs w:val="34"/>
        </w:rPr>
        <w:t xml:space="preserve">8. Datalek</w:t>
      </w:r>
    </w:p>
    <w:p>
      <w:pPr>
        <w:spacing w:after="140" w:line="288"/>
      </w:pPr>
      <w:r>
        <w:rPr>
          <w:rFonts w:ascii="Calibri" w:cs="Calibri" w:eastAsia="Calibri" w:hAnsi="Calibri"/>
          <w:color w:val="0E1A1C"/>
          <w:sz w:val="21"/>
          <w:szCs w:val="21"/>
        </w:rPr>
        <w:t xml:space="preserve">Een datalek is elke inbreuk op de beveiliging die leidt tot vernietiging, verlies, wijziging of ongeoorloofde toegang tot persoonsgegevens. Dat is breder dan een hack: een e-mail met een bijlage naar de verkeerde ontvanger is er een, en een verloren laptop ook.</w:t>
      </w:r>
    </w:p>
    <w:p>
      <w:pPr>
        <w:pStyle w:val="ListParagraph"/>
        <w:numPr>
          <w:ilvl w:val="0"/>
          <w:numId w:val="3"/>
        </w:numPr>
        <w:spacing w:after="70" w:line="280"/>
      </w:pPr>
      <w:r>
        <w:rPr>
          <w:rFonts w:ascii="Calibri" w:cs="Calibri" w:eastAsia="Calibri" w:hAnsi="Calibri"/>
          <w:color w:val="0E1A1C"/>
          <w:sz w:val="21"/>
          <w:szCs w:val="21"/>
        </w:rPr>
        <w:t xml:space="preserve">Melden bij de Autoriteit Persoonsgegevens moet in beginsel binnen 72 uur na ontdekking, tenzij het onwaarschijnlijk is dat het lek risico oplevert.</w:t>
      </w:r>
    </w:p>
    <w:p>
      <w:pPr>
        <w:pStyle w:val="ListParagraph"/>
        <w:numPr>
          <w:ilvl w:val="0"/>
          <w:numId w:val="3"/>
        </w:numPr>
        <w:spacing w:after="70" w:line="280"/>
      </w:pPr>
      <w:r>
        <w:rPr>
          <w:rFonts w:ascii="Calibri" w:cs="Calibri" w:eastAsia="Calibri" w:hAnsi="Calibri"/>
          <w:color w:val="0E1A1C"/>
          <w:sz w:val="21"/>
          <w:szCs w:val="21"/>
        </w:rPr>
        <w:t xml:space="preserve">Bij een hoog risico voor de betrokkenen moeten ook zij worden geïnformeerd, zonder onnodige vertraging.</w:t>
      </w:r>
    </w:p>
    <w:p>
      <w:pPr>
        <w:pStyle w:val="ListParagraph"/>
        <w:numPr>
          <w:ilvl w:val="0"/>
          <w:numId w:val="3"/>
        </w:numPr>
        <w:spacing w:after="70" w:line="280"/>
      </w:pPr>
      <w:r>
        <w:rPr>
          <w:rFonts w:ascii="Calibri" w:cs="Calibri" w:eastAsia="Calibri" w:hAnsi="Calibri"/>
          <w:color w:val="0E1A1C"/>
          <w:sz w:val="21"/>
          <w:szCs w:val="21"/>
        </w:rPr>
        <w:t xml:space="preserve">Elk lek wordt intern geregistreerd, ook wanneer het niet gemeld hoeft te worden.</w:t>
      </w:r>
    </w:p>
    <w:p>
      <w:pPr>
        <w:pStyle w:val="ListParagraph"/>
        <w:numPr>
          <w:ilvl w:val="0"/>
          <w:numId w:val="3"/>
        </w:numPr>
        <w:spacing w:after="70" w:line="280"/>
      </w:pPr>
      <w:r>
        <w:rPr>
          <w:rFonts w:ascii="Calibri" w:cs="Calibri" w:eastAsia="Calibri" w:hAnsi="Calibri"/>
          <w:color w:val="0E1A1C"/>
          <w:sz w:val="21"/>
          <w:szCs w:val="21"/>
        </w:rPr>
        <w:t xml:space="preserve">De klok begint bij ontdekking, niet bij bevestiging. Wachten tot je zeker weet hoe groot het is, is de meest gemaakte fout.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Wat jij doet als je iets ontdekt</w:t>
            </w:r>
          </w:p>
          <w:p>
            <w:pPr>
              <w:spacing w:after="60" w:line="280"/>
            </w:pPr>
            <w:r>
              <w:rPr>
                <w:rFonts w:ascii="Calibri" w:cs="Calibri" w:eastAsia="Calibri" w:hAnsi="Calibri"/>
                <w:color w:val="0E1A1C"/>
                <w:sz w:val="20"/>
                <w:szCs w:val="20"/>
              </w:rPr>
              <w:t xml:space="preserve">Meld het direct intern via de vastgelegde route — vrijwel altijd de functionaris gegevensbescherming of de securityfunctie. Los het niet eerst zelf op, verwijder niets, en beoordeel niet zelf of het ernstig genoeg is. Die beoordeling is niet jouw rol, en de termijn loopt intussen door.</w:t>
            </w:r>
          </w:p>
        </w:tc>
      </w:tr>
    </w:tbl>
    <w:p>
      <w:r>
        <w:br w:type="page"/>
      </w:r>
    </w:p>
    <w:p>
      <w:pPr>
        <w:pStyle w:val="Heading1"/>
        <w:spacing w:after="200" w:before="420"/>
      </w:pPr>
      <w:r>
        <w:rPr>
          <w:rFonts w:ascii="Cambria" w:cs="Cambria" w:eastAsia="Cambria" w:hAnsi="Cambria"/>
          <w:b/>
          <w:bCs/>
          <w:color w:val="1B4A48"/>
          <w:sz w:val="34"/>
          <w:szCs w:val="34"/>
        </w:rPr>
        <w:t xml:space="preserve">9. Ethiek: mag het, en hoort het?</w:t>
      </w:r>
    </w:p>
    <w:p>
      <w:pPr>
        <w:spacing w:after="140" w:line="288"/>
      </w:pPr>
      <w:r>
        <w:rPr>
          <w:rFonts w:ascii="Calibri" w:cs="Calibri" w:eastAsia="Calibri" w:hAnsi="Calibri"/>
          <w:color w:val="0E1A1C"/>
          <w:sz w:val="21"/>
          <w:szCs w:val="21"/>
        </w:rPr>
        <w:t xml:space="preserve">Niet alles wat juridisch toelaatbaar is, is verstandig of fatsoenlijk. De AVG is een ondergrens, geen kompas. Vier vragen helpen om het onderscheid scherp te krijgen zonder dat het een filosofisch gesprek wordt.</w:t>
      </w:r>
    </w:p>
    <w:p>
      <w:pPr>
        <w:pStyle w:val="ListParagraph"/>
        <w:numPr>
          <w:ilvl w:val="0"/>
          <w:numId w:val="5"/>
        </w:numPr>
        <w:spacing w:after="70" w:line="280"/>
      </w:pPr>
      <w:r>
        <w:rPr>
          <w:rFonts w:ascii="Calibri" w:cs="Calibri" w:eastAsia="Calibri" w:hAnsi="Calibri"/>
          <w:color w:val="0E1A1C"/>
          <w:sz w:val="21"/>
          <w:szCs w:val="21"/>
        </w:rPr>
        <w:t xml:space="preserve">Zou de deelnemer verbaasd zijn als hij dit wist? Verrassing is het scherpste ethische signaal dat er is.</w:t>
      </w:r>
    </w:p>
    <w:p>
      <w:pPr>
        <w:pStyle w:val="ListParagraph"/>
        <w:numPr>
          <w:ilvl w:val="0"/>
          <w:numId w:val="5"/>
        </w:numPr>
        <w:spacing w:after="70" w:line="280"/>
      </w:pPr>
      <w:r>
        <w:rPr>
          <w:rFonts w:ascii="Calibri" w:cs="Calibri" w:eastAsia="Calibri" w:hAnsi="Calibri"/>
          <w:color w:val="0E1A1C"/>
          <w:sz w:val="21"/>
          <w:szCs w:val="21"/>
        </w:rPr>
        <w:t xml:space="preserve">Wie draagt het risico, en wie heeft het voordeel? Als die twee uit elkaar lopen, is er iets uit te leggen.</w:t>
      </w:r>
    </w:p>
    <w:p>
      <w:pPr>
        <w:pStyle w:val="ListParagraph"/>
        <w:numPr>
          <w:ilvl w:val="0"/>
          <w:numId w:val="5"/>
        </w:numPr>
        <w:spacing w:after="70" w:line="280"/>
      </w:pPr>
      <w:r>
        <w:rPr>
          <w:rFonts w:ascii="Calibri" w:cs="Calibri" w:eastAsia="Calibri" w:hAnsi="Calibri"/>
          <w:color w:val="0E1A1C"/>
          <w:sz w:val="21"/>
          <w:szCs w:val="21"/>
        </w:rPr>
        <w:t xml:space="preserve">Zou ik dit in de krant willen zien staan, met de naam van mijn opdrachtgever erbij?</w:t>
      </w:r>
    </w:p>
    <w:p>
      <w:pPr>
        <w:pStyle w:val="ListParagraph"/>
        <w:numPr>
          <w:ilvl w:val="0"/>
          <w:numId w:val="5"/>
        </w:numPr>
        <w:spacing w:after="70" w:line="280"/>
      </w:pPr>
      <w:r>
        <w:rPr>
          <w:rFonts w:ascii="Calibri" w:cs="Calibri" w:eastAsia="Calibri" w:hAnsi="Calibri"/>
          <w:color w:val="0E1A1C"/>
          <w:sz w:val="21"/>
          <w:szCs w:val="21"/>
        </w:rPr>
        <w:t xml:space="preserve">Werkt dit systematisch nadelig uit voor een bepaalde groep, ook al is dat niet de bedoeling?</w:t>
      </w:r>
    </w:p>
    <w:p>
      <w:pPr>
        <w:spacing w:after="140" w:line="288"/>
      </w:pPr>
      <w:r>
        <w:rPr>
          <w:rFonts w:ascii="Calibri" w:cs="Calibri" w:eastAsia="Calibri" w:hAnsi="Calibri"/>
          <w:color w:val="0E1A1C"/>
          <w:sz w:val="21"/>
          <w:szCs w:val="21"/>
        </w:rPr>
        <w:t xml:space="preserve">Die laatste vraag wordt belangrijker naarmate er meer met modellen wordt gewerkt. Een model dat op historische data is getraind, herhaalt de patronen die daarin zitten — inclusief de ongewenste. Deel 27 werkt dat uit tot AI-governance; op dit niveau volstaat het dat je de vraag stelt.</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6"/>
        </w:numPr>
        <w:spacing w:after="70" w:line="280"/>
      </w:pPr>
      <w:r>
        <w:rPr>
          <w:rFonts w:ascii="Calibri" w:cs="Calibri" w:eastAsia="Calibri" w:hAnsi="Calibri"/>
          <w:color w:val="0E1A1C"/>
          <w:sz w:val="21"/>
          <w:szCs w:val="21"/>
        </w:rPr>
        <w:t xml:space="preserve">Een grondslag achteraf zoeken bij een verwerking die al loopt.</w:t>
      </w:r>
    </w:p>
    <w:p>
      <w:pPr>
        <w:pStyle w:val="ListParagraph"/>
        <w:numPr>
          <w:ilvl w:val="0"/>
          <w:numId w:val="6"/>
        </w:numPr>
        <w:spacing w:after="70" w:line="280"/>
      </w:pPr>
      <w:r>
        <w:rPr>
          <w:rFonts w:ascii="Calibri" w:cs="Calibri" w:eastAsia="Calibri" w:hAnsi="Calibri"/>
          <w:color w:val="0E1A1C"/>
          <w:sz w:val="21"/>
          <w:szCs w:val="21"/>
        </w:rPr>
        <w:t xml:space="preserve">"Geanonimiseerd" zeggen terwijl er ergens een sleuteltabel is.</w:t>
      </w:r>
    </w:p>
    <w:p>
      <w:pPr>
        <w:pStyle w:val="ListParagraph"/>
        <w:numPr>
          <w:ilvl w:val="0"/>
          <w:numId w:val="6"/>
        </w:numPr>
        <w:spacing w:after="70" w:line="280"/>
      </w:pPr>
      <w:r>
        <w:rPr>
          <w:rFonts w:ascii="Calibri" w:cs="Calibri" w:eastAsia="Calibri" w:hAnsi="Calibri"/>
          <w:color w:val="0E1A1C"/>
          <w:sz w:val="21"/>
          <w:szCs w:val="21"/>
        </w:rPr>
        <w:t xml:space="preserve">Toegang verlenen op functieniveau in plaats van op noodzaak.</w:t>
      </w:r>
    </w:p>
    <w:p>
      <w:pPr>
        <w:pStyle w:val="ListParagraph"/>
        <w:numPr>
          <w:ilvl w:val="0"/>
          <w:numId w:val="6"/>
        </w:numPr>
        <w:spacing w:after="70" w:line="280"/>
      </w:pPr>
      <w:r>
        <w:rPr>
          <w:rFonts w:ascii="Calibri" w:cs="Calibri" w:eastAsia="Calibri" w:hAnsi="Calibri"/>
          <w:color w:val="0E1A1C"/>
          <w:sz w:val="21"/>
          <w:szCs w:val="21"/>
        </w:rPr>
        <w:t xml:space="preserve">Bij een vermoedelijk lek eerst zelf uitzoeken hoe groot het is, terwijl de termijn loopt.</w:t>
      </w:r>
    </w:p>
    <w:p>
      <w:pPr>
        <w:pStyle w:val="ListParagraph"/>
        <w:numPr>
          <w:ilvl w:val="0"/>
          <w:numId w:val="6"/>
        </w:numPr>
        <w:spacing w:after="70" w:line="280"/>
      </w:pPr>
      <w:r>
        <w:rPr>
          <w:rFonts w:ascii="Calibri" w:cs="Calibri" w:eastAsia="Calibri" w:hAnsi="Calibri"/>
          <w:color w:val="0E1A1C"/>
          <w:sz w:val="21"/>
          <w:szCs w:val="21"/>
        </w:rPr>
        <w:t xml:space="preserve">Ethiek gelijkstellen aan compliance en daarmee de vraag "hoort dit?" nooit stellen.</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raakt drie onderwerpen op het CDMP Fundamentals-examen: Data Governance, Data Security en de ethiekparagraaf. Data Governance is een van de zwaarst wegende kennisgebieden. Deel 16 verdiept governance richting het specialistexamen; deel 17 verdiept privacy en security richting de praktijk en de optionele CIPP/E.</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Governance als besluitrechten, en het onderscheid tussen governance en stewardship.</w:t>
      </w:r>
    </w:p>
    <w:p>
      <w:pPr>
        <w:pStyle w:val="ListParagraph"/>
        <w:numPr>
          <w:ilvl w:val="0"/>
          <w:numId w:val="3"/>
        </w:numPr>
        <w:spacing w:after="70" w:line="280"/>
      </w:pPr>
      <w:r>
        <w:rPr>
          <w:rFonts w:ascii="Calibri" w:cs="Calibri" w:eastAsia="Calibri" w:hAnsi="Calibri"/>
          <w:color w:val="0E1A1C"/>
          <w:sz w:val="21"/>
          <w:szCs w:val="21"/>
        </w:rPr>
        <w:t xml:space="preserve">Classificatie en het CIA-drieluik; toegang op basis van noodzaak.</w:t>
      </w:r>
    </w:p>
    <w:p>
      <w:pPr>
        <w:pStyle w:val="ListParagraph"/>
        <w:numPr>
          <w:ilvl w:val="0"/>
          <w:numId w:val="3"/>
        </w:numPr>
        <w:spacing w:after="70" w:line="280"/>
      </w:pPr>
      <w:r>
        <w:rPr>
          <w:rFonts w:ascii="Calibri" w:cs="Calibri" w:eastAsia="Calibri" w:hAnsi="Calibri"/>
          <w:color w:val="0E1A1C"/>
          <w:sz w:val="21"/>
          <w:szCs w:val="21"/>
        </w:rPr>
        <w:t xml:space="preserve">Het onderscheid pseudonimiseren en anonimiseren, inclusief het gevolg voor de regels.</w:t>
      </w:r>
    </w:p>
    <w:p>
      <w:pPr>
        <w:pStyle w:val="ListParagraph"/>
        <w:numPr>
          <w:ilvl w:val="0"/>
          <w:numId w:val="3"/>
        </w:numPr>
        <w:spacing w:after="70" w:line="280"/>
      </w:pPr>
      <w:r>
        <w:rPr>
          <w:rFonts w:ascii="Calibri" w:cs="Calibri" w:eastAsia="Calibri" w:hAnsi="Calibri"/>
          <w:color w:val="0E1A1C"/>
          <w:sz w:val="21"/>
          <w:szCs w:val="21"/>
        </w:rPr>
        <w:t xml:space="preserve">De ethiekparagraaf: het DMBOK behandelt data-ethiek als een eigen onderwerp, niet als bijlage bij security.</w:t>
      </w:r>
    </w:p>
    <w:p>
      <w:pPr>
        <w:pStyle w:val="ListParagraph"/>
        <w:numPr>
          <w:ilvl w:val="0"/>
          <w:numId w:val="3"/>
        </w:numPr>
        <w:spacing w:after="70" w:line="280"/>
      </w:pPr>
      <w:r>
        <w:rPr>
          <w:rFonts w:ascii="Calibri" w:cs="Calibri" w:eastAsia="Calibri" w:hAnsi="Calibri"/>
          <w:color w:val="0E1A1C"/>
          <w:sz w:val="21"/>
          <w:szCs w:val="21"/>
        </w:rPr>
        <w:t xml:space="preserve">Engels: decision rights, data classification, confidentiality, need to know, pseudonymization, anonymization, data breach.</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hoofdstukken over data governance, data security en data ethics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Voor de Nederlandse praktijk: de voorlichting van de Autoriteit Persoonsgegevens over grondslagen, rechten van betrokkenen en de meldplicht datalekken.</w:t>
            </w:r>
          </w:p>
          <w:p>
            <w:pPr>
              <w:spacing w:after="60" w:line="280"/>
            </w:pPr>
            <w:r>
              <w:rPr>
                <w:rFonts w:ascii="Calibri" w:cs="Calibri" w:eastAsia="Calibri" w:hAnsi="Calibri"/>
                <w:color w:val="0E1A1C"/>
                <w:sz w:val="20"/>
                <w:szCs w:val="20"/>
              </w:rPr>
              <w:t xml:space="preserve">Examenopzet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7 — Governance, privacy en security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privacy en security — Deelnemersreader</dc:title>
  <dc:creator>Ductus B.V.</dc:creator>
  <dc:description>Cursusmateriaal datamanagement, data-analyse en data governance</dc:description>
  <cp:lastModifiedBy>Un-named</cp:lastModifiedBy>
  <cp:revision>1</cp:revision>
  <dcterms:created xsi:type="dcterms:W3CDTF">2026-08-05T10:35:01.659Z</dcterms:created>
  <dcterms:modified xsi:type="dcterms:W3CDTF">2026-08-05T10:35:01.659Z</dcterms:modified>
</cp:coreProperties>
</file>

<file path=docProps/custom.xml><?xml version="1.0" encoding="utf-8"?>
<Properties xmlns="http://schemas.openxmlformats.org/officeDocument/2006/custom-properties" xmlns:vt="http://schemas.openxmlformats.org/officeDocument/2006/docPropsVTypes"/>
</file>