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8</w:t>
      </w:r>
    </w:p>
    <w:p>
      <w:pPr>
        <w:spacing w:after="120"/>
      </w:pPr>
      <w:r>
        <w:rPr>
          <w:rFonts w:ascii="Cambria" w:cs="Cambria" w:eastAsia="Cambria" w:hAnsi="Cambria"/>
          <w:b/>
          <w:bCs/>
          <w:color w:val="0E1A1C"/>
          <w:sz w:val="56"/>
          <w:szCs w:val="56"/>
        </w:rPr>
        <w:t xml:space="preserve">Het complete kennislandschap</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2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geprinte gebiedskaarten, volwassenheidsformulier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8 gelezen; delen 1 tot en met 7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mét het DMBOK erbij. Controleer bij binnenkomst wie het boek daadwerkelijk heeft — dit is het deel waarin dat niet meer vrijblijvend is, en wie het nog niet heeft moet het vóór deel 9 hebben.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Veertien geprinte gebiedskaarten met alleen de Engelse naam erop, om mee te leggen en te sorteren.</w:t>
      </w:r>
    </w:p>
    <w:p>
      <w:pPr>
        <w:pStyle w:val="ListParagraph"/>
        <w:numPr>
          <w:ilvl w:val="0"/>
          <w:numId w:val="2"/>
        </w:numPr>
        <w:spacing w:after="70" w:line="280"/>
      </w:pPr>
      <w:r>
        <w:rPr>
          <w:rFonts w:ascii="Calibri" w:cs="Calibri" w:eastAsia="Calibri" w:hAnsi="Calibri"/>
          <w:color w:val="0E1A1C"/>
          <w:sz w:val="21"/>
          <w:szCs w:val="21"/>
        </w:rPr>
        <w:t xml:space="preserve">Het volwassenheidsformulier met zes gebieden en een kolom voor bewijs — die kolom is de hele oefening.</w:t>
      </w:r>
    </w:p>
    <w:p>
      <w:pPr>
        <w:pStyle w:val="ListParagraph"/>
        <w:numPr>
          <w:ilvl w:val="0"/>
          <w:numId w:val="2"/>
        </w:numPr>
        <w:spacing w:after="70" w:line="280"/>
      </w:pPr>
      <w:r>
        <w:rPr>
          <w:rFonts w:ascii="Calibri" w:cs="Calibri" w:eastAsia="Calibri" w:hAnsi="Calibri"/>
          <w:color w:val="0E1A1C"/>
          <w:sz w:val="21"/>
          <w:szCs w:val="21"/>
        </w:rPr>
        <w:t xml:space="preserve">Je eigen DMBOK met tabbladen erin. Dat laat zien hoe een geoefende gebruiker het boek benadert, en dat is voor deel 9 relevanter dan het lijkt.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sluit de inhoudelijke dekking van niveau 1. Delen 1 tot en met 7 behandelden zeven gebieden diepgaand; hier komen de overige aan bod op examenniveau, met de nadruk op samenhang. Deel 9 is de examentraining met wegingen, de één-boek-regel en twee proefexamens; deel 10 de capstone. Het studieplan uit opdracht 6 is de directe input voor deel 9 — verzamel het en kijk het door vóór die sessie.</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waarom dit deel bestaat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Wees eerlijk over de examenreden; dat wordt gewaardeerd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ontbrekende gebieden op hoofdlijnen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 de gebiedskaarten neer en laat sorteren op bekendheid</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0:35–1:15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één vraag, zeven gebieden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Dit is de kern van het deel; neem er de tijd voor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1:15–1:50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volwassenheid</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consequent: waaruit blijkt die score?</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1:50–2:00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van hier naar het examen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6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Veertien gebieden benoemen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veertien in het Engels, met hoofdstuknummers erbij.</w:t>
      </w:r>
    </w:p>
    <w:p>
      <w:pPr>
        <w:pStyle w:val="ListParagraph"/>
        <w:numPr>
          <w:ilvl w:val="0"/>
          <w:numId w:val="2"/>
        </w:numPr>
        <w:spacing w:after="70" w:line="280"/>
      </w:pPr>
      <w:r>
        <w:rPr>
          <w:rFonts w:ascii="Calibri" w:cs="Calibri" w:eastAsia="Calibri" w:hAnsi="Calibri"/>
          <w:color w:val="0E1A1C"/>
          <w:sz w:val="21"/>
          <w:szCs w:val="21"/>
        </w:rPr>
        <w:t xml:space="preserve">Eigen omschrijvingen van één zin die niet uit het boek zijn overgeschreven.</w:t>
      </w:r>
    </w:p>
    <w:p>
      <w:pPr>
        <w:pStyle w:val="ListParagraph"/>
        <w:numPr>
          <w:ilvl w:val="0"/>
          <w:numId w:val="2"/>
        </w:numPr>
        <w:spacing w:after="70" w:line="280"/>
      </w:pPr>
      <w:r>
        <w:rPr>
          <w:rFonts w:ascii="Calibri" w:cs="Calibri" w:eastAsia="Calibri" w:hAnsi="Calibri"/>
          <w:color w:val="0E1A1C"/>
          <w:sz w:val="21"/>
          <w:szCs w:val="21"/>
        </w:rPr>
        <w:t xml:space="preserve">Eerlijke markering van de drie zwakste gebieden — meestal document and content management, data architecture en big data.</w:t>
      </w:r>
    </w:p>
    <w:p>
      <w:pPr>
        <w:pStyle w:val="ListParagraph"/>
        <w:numPr>
          <w:ilvl w:val="0"/>
          <w:numId w:val="2"/>
        </w:numPr>
        <w:spacing w:after="70" w:line="280"/>
      </w:pPr>
      <w:r>
        <w:rPr>
          <w:rFonts w:ascii="Calibri" w:cs="Calibri" w:eastAsia="Calibri" w:hAnsi="Calibri"/>
          <w:color w:val="0E1A1C"/>
          <w:sz w:val="21"/>
          <w:szCs w:val="21"/>
        </w:rPr>
        <w:t xml:space="preserve">Herkenning dat de eerste zeven delen zeven gebieden dekten.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Nederlandse namen gebruiken. Op het examen staan de Engelse er zonder vertaling.</w:t>
      </w:r>
    </w:p>
    <w:p>
      <w:pPr>
        <w:pStyle w:val="ListParagraph"/>
        <w:numPr>
          <w:ilvl w:val="0"/>
          <w:numId w:val="2"/>
        </w:numPr>
        <w:spacing w:after="70" w:line="280"/>
      </w:pPr>
      <w:r>
        <w:rPr>
          <w:rFonts w:ascii="Calibri" w:cs="Calibri" w:eastAsia="Calibri" w:hAnsi="Calibri"/>
          <w:color w:val="0E1A1C"/>
          <w:sz w:val="21"/>
          <w:szCs w:val="21"/>
        </w:rPr>
        <w:t xml:space="preserve">Hoofdstuknummers overslaan als bijzaak. Wijs op de tijdwinst tijdens het examen.</w:t>
      </w:r>
    </w:p>
    <w:p>
      <w:pPr>
        <w:pStyle w:val="ListParagraph"/>
        <w:numPr>
          <w:ilvl w:val="0"/>
          <w:numId w:val="2"/>
        </w:numPr>
        <w:spacing w:after="70" w:line="280"/>
      </w:pPr>
      <w:r>
        <w:rPr>
          <w:rFonts w:ascii="Calibri" w:cs="Calibri" w:eastAsia="Calibri" w:hAnsi="Calibri"/>
          <w:color w:val="0E1A1C"/>
          <w:sz w:val="21"/>
          <w:szCs w:val="21"/>
        </w:rPr>
        <w:t xml:space="preserve">Definities overschrijven. Laat opnieuw doen zonder boek.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gebied kon je niet uit je hoofd opnoemen, en wat zegt dat over je studieplan?</w:t>
            </w:r>
          </w:p>
        </w:tc>
      </w:tr>
    </w:tbl>
    <w:p>
      <w:pPr>
        <w:pStyle w:val="Heading2"/>
        <w:spacing w:after="140" w:before="340"/>
      </w:pPr>
      <w:r>
        <w:rPr>
          <w:rFonts w:ascii="Cambria" w:cs="Cambria" w:eastAsia="Cambria" w:hAnsi="Cambria"/>
          <w:b/>
          <w:bCs/>
          <w:color w:val="0E1A1C"/>
          <w:sz w:val="26"/>
          <w:szCs w:val="26"/>
        </w:rPr>
        <w:t xml:space="preserve">Opdracht 2 — Artefact bij gebied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metadata, (b) data architecture, (c) reference and master data, (d) document and content management, (e) metadata, (f) data security en governance, (g) reference and master data, (h) datamanagementproces, (i) DW en BI, (j) big data en data science.</w:t>
      </w:r>
    </w:p>
    <w:p>
      <w:pPr>
        <w:pStyle w:val="ListParagraph"/>
        <w:numPr>
          <w:ilvl w:val="0"/>
          <w:numId w:val="2"/>
        </w:numPr>
        <w:spacing w:after="70" w:line="280"/>
      </w:pPr>
      <w:r>
        <w:rPr>
          <w:rFonts w:ascii="Calibri" w:cs="Calibri" w:eastAsia="Calibri" w:hAnsi="Calibri"/>
          <w:color w:val="0E1A1C"/>
          <w:sz w:val="21"/>
          <w:szCs w:val="21"/>
        </w:rPr>
        <w:t xml:space="preserve">Bij (f) opgemerkt dat het verwerkingsregister zowel security als governance raakt.</w:t>
      </w:r>
    </w:p>
    <w:p>
      <w:pPr>
        <w:pStyle w:val="ListParagraph"/>
        <w:numPr>
          <w:ilvl w:val="0"/>
          <w:numId w:val="2"/>
        </w:numPr>
        <w:spacing w:after="70" w:line="280"/>
      </w:pPr>
      <w:r>
        <w:rPr>
          <w:rFonts w:ascii="Calibri" w:cs="Calibri" w:eastAsia="Calibri" w:hAnsi="Calibri"/>
          <w:color w:val="0E1A1C"/>
          <w:sz w:val="21"/>
          <w:szCs w:val="21"/>
        </w:rPr>
        <w:t xml:space="preserve">Bij (a) de vraag gesteld of een spreadsheet zonder eigenaar werkelijk een glossary is.</w:t>
      </w:r>
    </w:p>
    <w:p>
      <w:pPr>
        <w:pStyle w:val="ListParagraph"/>
        <w:numPr>
          <w:ilvl w:val="0"/>
          <w:numId w:val="2"/>
        </w:numPr>
        <w:spacing w:after="70" w:line="280"/>
      </w:pPr>
      <w:r>
        <w:rPr>
          <w:rFonts w:ascii="Calibri" w:cs="Calibri" w:eastAsia="Calibri" w:hAnsi="Calibri"/>
          <w:color w:val="0E1A1C"/>
          <w:sz w:val="21"/>
          <w:szCs w:val="21"/>
        </w:rPr>
        <w:t xml:space="preserve">De prioriteit onderbouwd vanuit wat het meeste zou oplossen, niet vanuit wat het makkelijkst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bij governance onderbrengen. Vraag welk gebied het artefact daadwerkelijk voortbrengt.</w:t>
      </w:r>
    </w:p>
    <w:p>
      <w:pPr>
        <w:pStyle w:val="ListParagraph"/>
        <w:numPr>
          <w:ilvl w:val="0"/>
          <w:numId w:val="2"/>
        </w:numPr>
        <w:spacing w:after="70" w:line="280"/>
      </w:pPr>
      <w:r>
        <w:rPr>
          <w:rFonts w:ascii="Calibri" w:cs="Calibri" w:eastAsia="Calibri" w:hAnsi="Calibri"/>
          <w:color w:val="0E1A1C"/>
          <w:sz w:val="21"/>
          <w:szCs w:val="21"/>
        </w:rPr>
        <w:t xml:space="preserve">(e) bij integratie leggen. Lineage beschrijft de integratie maar is metadata.</w:t>
      </w:r>
    </w:p>
    <w:p>
      <w:pPr>
        <w:pStyle w:val="ListParagraph"/>
        <w:numPr>
          <w:ilvl w:val="0"/>
          <w:numId w:val="2"/>
        </w:numPr>
        <w:spacing w:after="70" w:line="280"/>
      </w:pPr>
      <w:r>
        <w:rPr>
          <w:rFonts w:ascii="Calibri" w:cs="Calibri" w:eastAsia="Calibri" w:hAnsi="Calibri"/>
          <w:color w:val="0E1A1C"/>
          <w:sz w:val="21"/>
          <w:szCs w:val="21"/>
        </w:rPr>
        <w:t xml:space="preserve">De inventarisatie bij Meridiaan overslaan; die maakt het abstracte concreet.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Bestaat de begrippenlijst van Meridiaan echt, of alleen op papier? Wat is het verschil?</w:t>
            </w:r>
          </w:p>
        </w:tc>
      </w:tr>
    </w:tbl>
    <w:p>
      <w:pPr>
        <w:pStyle w:val="Heading2"/>
        <w:spacing w:after="140" w:before="340"/>
      </w:pPr>
      <w:r>
        <w:rPr>
          <w:rFonts w:ascii="Cambria" w:cs="Cambria" w:eastAsia="Cambria" w:hAnsi="Cambria"/>
          <w:b/>
          <w:bCs/>
          <w:color w:val="0E1A1C"/>
          <w:sz w:val="26"/>
          <w:szCs w:val="26"/>
        </w:rPr>
        <w:t xml:space="preserve">Opdracht 3 — Eén vraag, zeven gebieden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zeven bijdragen benoemd, met per gebied wat er bij Meridiaan ontbreekt.</w:t>
      </w:r>
    </w:p>
    <w:p>
      <w:pPr>
        <w:pStyle w:val="ListParagraph"/>
        <w:numPr>
          <w:ilvl w:val="0"/>
          <w:numId w:val="2"/>
        </w:numPr>
        <w:spacing w:after="70" w:line="280"/>
      </w:pPr>
      <w:r>
        <w:rPr>
          <w:rFonts w:ascii="Calibri" w:cs="Calibri" w:eastAsia="Calibri" w:hAnsi="Calibri"/>
          <w:color w:val="0E1A1C"/>
          <w:sz w:val="21"/>
          <w:szCs w:val="21"/>
        </w:rPr>
        <w:t xml:space="preserve">Governance en modeling als eerste twee, met de argumentatie dat zonder besluit over de definitie al het andere op los zand staat.</w:t>
      </w:r>
    </w:p>
    <w:p>
      <w:pPr>
        <w:pStyle w:val="ListParagraph"/>
        <w:numPr>
          <w:ilvl w:val="0"/>
          <w:numId w:val="2"/>
        </w:numPr>
        <w:spacing w:after="70" w:line="280"/>
      </w:pPr>
      <w:r>
        <w:rPr>
          <w:rFonts w:ascii="Calibri" w:cs="Calibri" w:eastAsia="Calibri" w:hAnsi="Calibri"/>
          <w:color w:val="0E1A1C"/>
          <w:sz w:val="21"/>
          <w:szCs w:val="21"/>
        </w:rPr>
        <w:t xml:space="preserve">Beschreven wat er gebeurt bij beginnen met de rapportage: je bouwt een vierde variant erbij.</w:t>
      </w:r>
    </w:p>
    <w:p>
      <w:pPr>
        <w:pStyle w:val="ListParagraph"/>
        <w:numPr>
          <w:ilvl w:val="0"/>
          <w:numId w:val="2"/>
        </w:numPr>
        <w:spacing w:after="70" w:line="280"/>
      </w:pPr>
      <w:r>
        <w:rPr>
          <w:rFonts w:ascii="Calibri" w:cs="Calibri" w:eastAsia="Calibri" w:hAnsi="Calibri"/>
          <w:color w:val="0E1A1C"/>
          <w:sz w:val="21"/>
          <w:szCs w:val="21"/>
        </w:rPr>
        <w:t xml:space="preserve">De slotzin scherp geformuleerd: het probleem zit op zeven plekken, dus één diagnose kan niet kloppen.</w:t>
      </w:r>
    </w:p>
    <w:p>
      <w:pPr>
        <w:pStyle w:val="ListParagraph"/>
        <w:numPr>
          <w:ilvl w:val="0"/>
          <w:numId w:val="2"/>
        </w:numPr>
        <w:spacing w:after="70" w:line="280"/>
      </w:pPr>
      <w:r>
        <w:rPr>
          <w:rFonts w:ascii="Calibri" w:cs="Calibri" w:eastAsia="Calibri" w:hAnsi="Calibri"/>
          <w:color w:val="0E1A1C"/>
          <w:sz w:val="21"/>
          <w:szCs w:val="21"/>
        </w:rPr>
        <w:t xml:space="preserve">De koppeling gelegd met de weeskinderen uit deel 3 en 5 en met de peildatum.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Beginnen bij BI omdat het probleem daar zichtbaar is. Vraag of dat oorzaak of symptoom is.</w:t>
      </w:r>
    </w:p>
    <w:p>
      <w:pPr>
        <w:pStyle w:val="ListParagraph"/>
        <w:numPr>
          <w:ilvl w:val="0"/>
          <w:numId w:val="2"/>
        </w:numPr>
        <w:spacing w:after="70" w:line="280"/>
      </w:pPr>
      <w:r>
        <w:rPr>
          <w:rFonts w:ascii="Calibri" w:cs="Calibri" w:eastAsia="Calibri" w:hAnsi="Calibri"/>
          <w:color w:val="0E1A1C"/>
          <w:sz w:val="21"/>
          <w:szCs w:val="21"/>
        </w:rPr>
        <w:t xml:space="preserve">Metadata overslaan. "Waar komt dit getal vandaan" is precies de vraag die niet beantwoord kan worden.</w:t>
      </w:r>
    </w:p>
    <w:p>
      <w:pPr>
        <w:pStyle w:val="ListParagraph"/>
        <w:numPr>
          <w:ilvl w:val="0"/>
          <w:numId w:val="2"/>
        </w:numPr>
        <w:spacing w:after="70" w:line="280"/>
      </w:pPr>
      <w:r>
        <w:rPr>
          <w:rFonts w:ascii="Calibri" w:cs="Calibri" w:eastAsia="Calibri" w:hAnsi="Calibri"/>
          <w:color w:val="0E1A1C"/>
          <w:sz w:val="21"/>
          <w:szCs w:val="21"/>
        </w:rPr>
        <w:t xml:space="preserve">Zeven gebieden noemen zonder per gebied het ontbrekende element. Dat laatste maakt het bruikbaar.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Als je maar één gebied mocht aanpakken bij Meridiaan, welk dan — en wat blijft er dan mis?</w:t>
            </w:r>
          </w:p>
        </w:tc>
      </w:tr>
    </w:tbl>
    <w:p>
      <w:pPr>
        <w:pStyle w:val="Heading2"/>
        <w:spacing w:after="140" w:before="340"/>
      </w:pPr>
      <w:r>
        <w:rPr>
          <w:rFonts w:ascii="Cambria" w:cs="Cambria" w:eastAsia="Cambria" w:hAnsi="Cambria"/>
          <w:b/>
          <w:bCs/>
          <w:color w:val="0E1A1C"/>
          <w:sz w:val="26"/>
          <w:szCs w:val="26"/>
        </w:rPr>
        <w:t xml:space="preserve">Opdracht 4 — Volwassenheid inschatten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Governance op 1, metadata op 1, quality op 1 of 2, modeling op 2, master data op 1, security op 2 — met per score een waarneming uit de casus.</w:t>
      </w:r>
    </w:p>
    <w:p>
      <w:pPr>
        <w:pStyle w:val="ListParagraph"/>
        <w:numPr>
          <w:ilvl w:val="0"/>
          <w:numId w:val="2"/>
        </w:numPr>
        <w:spacing w:after="70" w:line="280"/>
      </w:pPr>
      <w:r>
        <w:rPr>
          <w:rFonts w:ascii="Calibri" w:cs="Calibri" w:eastAsia="Calibri" w:hAnsi="Calibri"/>
          <w:color w:val="0E1A1C"/>
          <w:sz w:val="21"/>
          <w:szCs w:val="21"/>
        </w:rPr>
        <w:t xml:space="preserve">Ambitieniveaus op 3 in plaats van 5, met de onderbouwing dat een sprong van twee niveaus in twee jaar zeldzaam is.</w:t>
      </w:r>
    </w:p>
    <w:p>
      <w:pPr>
        <w:pStyle w:val="ListParagraph"/>
        <w:numPr>
          <w:ilvl w:val="0"/>
          <w:numId w:val="2"/>
        </w:numPr>
        <w:spacing w:after="70" w:line="280"/>
      </w:pPr>
      <w:r>
        <w:rPr>
          <w:rFonts w:ascii="Calibri" w:cs="Calibri" w:eastAsia="Calibri" w:hAnsi="Calibri"/>
          <w:color w:val="0E1A1C"/>
          <w:sz w:val="21"/>
          <w:szCs w:val="21"/>
        </w:rPr>
        <w:t xml:space="preserve">De eigen organisatie eerlijk gescoord, ook waar dat ongemakkelijk is.</w:t>
      </w:r>
    </w:p>
    <w:p>
      <w:pPr>
        <w:pStyle w:val="ListParagraph"/>
        <w:numPr>
          <w:ilvl w:val="0"/>
          <w:numId w:val="2"/>
        </w:numPr>
        <w:spacing w:after="70" w:line="280"/>
      </w:pPr>
      <w:r>
        <w:rPr>
          <w:rFonts w:ascii="Calibri" w:cs="Calibri" w:eastAsia="Calibri" w:hAnsi="Calibri"/>
          <w:color w:val="0E1A1C"/>
          <w:sz w:val="21"/>
          <w:szCs w:val="21"/>
        </w:rPr>
        <w:t xml:space="preserve">Het grootste gat benoemd met een interpretatie over waar de aandacht van de organisatie zit.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Scores zonder waarneming. Vraag consequent: waaruit blijkt dat?</w:t>
      </w:r>
    </w:p>
    <w:p>
      <w:pPr>
        <w:pStyle w:val="ListParagraph"/>
        <w:numPr>
          <w:ilvl w:val="0"/>
          <w:numId w:val="2"/>
        </w:numPr>
        <w:spacing w:after="70" w:line="280"/>
      </w:pPr>
      <w:r>
        <w:rPr>
          <w:rFonts w:ascii="Calibri" w:cs="Calibri" w:eastAsia="Calibri" w:hAnsi="Calibri"/>
          <w:color w:val="0E1A1C"/>
          <w:sz w:val="21"/>
          <w:szCs w:val="21"/>
        </w:rPr>
        <w:t xml:space="preserve">Ambitie op 5 zetten. Vraag wat dat kost en of het nodig is.</w:t>
      </w:r>
    </w:p>
    <w:p>
      <w:pPr>
        <w:pStyle w:val="ListParagraph"/>
        <w:numPr>
          <w:ilvl w:val="0"/>
          <w:numId w:val="2"/>
        </w:numPr>
        <w:spacing w:after="70" w:line="280"/>
      </w:pPr>
      <w:r>
        <w:rPr>
          <w:rFonts w:ascii="Calibri" w:cs="Calibri" w:eastAsia="Calibri" w:hAnsi="Calibri"/>
          <w:color w:val="0E1A1C"/>
          <w:sz w:val="21"/>
          <w:szCs w:val="21"/>
        </w:rPr>
        <w:t xml:space="preserve">De eigen organisatie hoger scoren dan Meridiaan zonder bewijs. Dat gebeurt vaker dan terecht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Waaruit blijkt jouw score voor de eigen organisatie? Zou een auditor die waarneming ook doen?</w:t>
            </w:r>
          </w:p>
        </w:tc>
      </w:tr>
    </w:tbl>
    <w:p>
      <w:pPr>
        <w:pStyle w:val="Heading2"/>
        <w:spacing w:after="140" w:before="340"/>
      </w:pPr>
      <w:r>
        <w:rPr>
          <w:rFonts w:ascii="Cambria" w:cs="Cambria" w:eastAsia="Cambria" w:hAnsi="Cambria"/>
          <w:b/>
          <w:bCs/>
          <w:color w:val="0E1A1C"/>
          <w:sz w:val="26"/>
          <w:szCs w:val="26"/>
        </w:rPr>
        <w:t xml:space="preserve">Opdracht 5 — De blinde vlek</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 soorten benoemd: correspondentie, telefoonnotities, gescande formulieren, scheidingsstukken en interne rapportages of presentaties.</w:t>
      </w:r>
    </w:p>
    <w:p>
      <w:pPr>
        <w:pStyle w:val="ListParagraph"/>
        <w:numPr>
          <w:ilvl w:val="0"/>
          <w:numId w:val="2"/>
        </w:numPr>
        <w:spacing w:after="70" w:line="280"/>
      </w:pPr>
      <w:r>
        <w:rPr>
          <w:rFonts w:ascii="Calibri" w:cs="Calibri" w:eastAsia="Calibri" w:hAnsi="Calibri"/>
          <w:color w:val="0E1A1C"/>
          <w:sz w:val="21"/>
          <w:szCs w:val="21"/>
        </w:rPr>
        <w:t xml:space="preserve">Per soort de drie beoordelingen ingevuld, met bij vrijwel alles "geen eigenaar" en "geen bewaartermijn".</w:t>
      </w:r>
    </w:p>
    <w:p>
      <w:pPr>
        <w:pStyle w:val="ListParagraph"/>
        <w:numPr>
          <w:ilvl w:val="0"/>
          <w:numId w:val="2"/>
        </w:numPr>
        <w:spacing w:after="70" w:line="280"/>
      </w:pPr>
      <w:r>
        <w:rPr>
          <w:rFonts w:ascii="Calibri" w:cs="Calibri" w:eastAsia="Calibri" w:hAnsi="Calibri"/>
          <w:color w:val="0E1A1C"/>
          <w:sz w:val="21"/>
          <w:szCs w:val="21"/>
        </w:rPr>
        <w:t xml:space="preserve">De scheidingsstukken aangewezen als hoogste risico, op privacy én bewijsvoering.</w:t>
      </w:r>
    </w:p>
    <w:p>
      <w:pPr>
        <w:pStyle w:val="ListParagraph"/>
        <w:numPr>
          <w:ilvl w:val="0"/>
          <w:numId w:val="2"/>
        </w:numPr>
        <w:spacing w:after="70" w:line="280"/>
      </w:pPr>
      <w:r>
        <w:rPr>
          <w:rFonts w:ascii="Calibri" w:cs="Calibri" w:eastAsia="Calibri" w:hAnsi="Calibri"/>
          <w:color w:val="0E1A1C"/>
          <w:sz w:val="21"/>
          <w:szCs w:val="21"/>
        </w:rPr>
        <w:t xml:space="preserve">Het inzageverzoek van een twintigjarige deelnemer doorgedacht: gegevens verspreid over legacy, platform, mappen en archief.</w:t>
      </w:r>
    </w:p>
    <w:p>
      <w:pPr>
        <w:pStyle w:val="ListParagraph"/>
        <w:numPr>
          <w:ilvl w:val="0"/>
          <w:numId w:val="2"/>
        </w:numPr>
        <w:spacing w:after="70" w:line="280"/>
      </w:pPr>
      <w:r>
        <w:rPr>
          <w:rFonts w:ascii="Calibri" w:cs="Calibri" w:eastAsia="Calibri" w:hAnsi="Calibri"/>
          <w:color w:val="0E1A1C"/>
          <w:sz w:val="21"/>
          <w:szCs w:val="21"/>
        </w:rPr>
        <w:t xml:space="preserve">Een maatregel met bestaande middelen, bijvoorbeeld één gedeelde map met een vastgestelde bewaartermijn en een aangewezen eigenaar, in plaats van een documentmanagementsysteem.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aan documenten denken. Telefoonnotities en e-mail zijn de grotere blinde vlek.</w:t>
      </w:r>
    </w:p>
    <w:p>
      <w:pPr>
        <w:pStyle w:val="ListParagraph"/>
        <w:numPr>
          <w:ilvl w:val="0"/>
          <w:numId w:val="2"/>
        </w:numPr>
        <w:spacing w:after="70" w:line="280"/>
      </w:pPr>
      <w:r>
        <w:rPr>
          <w:rFonts w:ascii="Calibri" w:cs="Calibri" w:eastAsia="Calibri" w:hAnsi="Calibri"/>
          <w:color w:val="0E1A1C"/>
          <w:sz w:val="21"/>
          <w:szCs w:val="21"/>
        </w:rPr>
        <w:t xml:space="preserve">Een maatregel voorstellen die een nieuw systeem vereist. Die haalt de begroting niet.</w:t>
      </w:r>
    </w:p>
    <w:p>
      <w:pPr>
        <w:pStyle w:val="ListParagraph"/>
        <w:numPr>
          <w:ilvl w:val="0"/>
          <w:numId w:val="2"/>
        </w:numPr>
        <w:spacing w:after="70" w:line="280"/>
      </w:pPr>
      <w:r>
        <w:rPr>
          <w:rFonts w:ascii="Calibri" w:cs="Calibri" w:eastAsia="Calibri" w:hAnsi="Calibri"/>
          <w:color w:val="0E1A1C"/>
          <w:sz w:val="21"/>
          <w:szCs w:val="21"/>
        </w:rPr>
        <w:t xml:space="preserve">Het inzageverzoek theoretisch beantwoorden. Laat het concreet doorrekenen in werkdagen.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werkdagen kost een volledig inzageverzoek bij Meridiaan vandaag? En is dat binnen de termijn?</w:t>
            </w:r>
          </w:p>
        </w:tc>
      </w:tr>
    </w:tbl>
    <w:p>
      <w:pPr>
        <w:pStyle w:val="Heading2"/>
        <w:spacing w:after="140" w:before="340"/>
      </w:pPr>
      <w:r>
        <w:rPr>
          <w:rFonts w:ascii="Cambria" w:cs="Cambria" w:eastAsia="Cambria" w:hAnsi="Cambria"/>
          <w:b/>
          <w:bCs/>
          <w:color w:val="0E1A1C"/>
          <w:sz w:val="26"/>
          <w:szCs w:val="26"/>
        </w:rPr>
        <w:t xml:space="preserve">Opdracht 6 — Je studieplan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zelfinschatting die varieert — een lijst met overal een 4 is geen inschatting.</w:t>
      </w:r>
    </w:p>
    <w:p>
      <w:pPr>
        <w:pStyle w:val="ListParagraph"/>
        <w:numPr>
          <w:ilvl w:val="0"/>
          <w:numId w:val="2"/>
        </w:numPr>
        <w:spacing w:after="70" w:line="280"/>
      </w:pPr>
      <w:r>
        <w:rPr>
          <w:rFonts w:ascii="Calibri" w:cs="Calibri" w:eastAsia="Calibri" w:hAnsi="Calibri"/>
          <w:color w:val="0E1A1C"/>
          <w:sz w:val="21"/>
          <w:szCs w:val="21"/>
        </w:rPr>
        <w:t xml:space="preserve">De koppeling gemaakt tussen lage score en zwaar gewicht; daar zit de winst.</w:t>
      </w:r>
    </w:p>
    <w:p>
      <w:pPr>
        <w:pStyle w:val="ListParagraph"/>
        <w:numPr>
          <w:ilvl w:val="0"/>
          <w:numId w:val="2"/>
        </w:numPr>
        <w:spacing w:after="70" w:line="280"/>
      </w:pPr>
      <w:r>
        <w:rPr>
          <w:rFonts w:ascii="Calibri" w:cs="Calibri" w:eastAsia="Calibri" w:hAnsi="Calibri"/>
          <w:color w:val="0E1A1C"/>
          <w:sz w:val="21"/>
          <w:szCs w:val="21"/>
        </w:rPr>
        <w:t xml:space="preserve">Vier weken met per week een concreet doel en een realistische tijdsinvestering.</w:t>
      </w:r>
    </w:p>
    <w:p>
      <w:pPr>
        <w:pStyle w:val="ListParagraph"/>
        <w:numPr>
          <w:ilvl w:val="0"/>
          <w:numId w:val="2"/>
        </w:numPr>
        <w:spacing w:after="70" w:line="280"/>
      </w:pPr>
      <w:r>
        <w:rPr>
          <w:rFonts w:ascii="Calibri" w:cs="Calibri" w:eastAsia="Calibri" w:hAnsi="Calibri"/>
          <w:color w:val="0E1A1C"/>
          <w:sz w:val="21"/>
          <w:szCs w:val="21"/>
        </w:rPr>
        <w:t xml:space="preserve">Drie verwarparen benoemd met een toetsmethode, bijvoorbeeld elkaar overhoren of eigen definities schrijven.</w:t>
      </w:r>
    </w:p>
    <w:p>
      <w:pPr>
        <w:pStyle w:val="ListParagraph"/>
        <w:numPr>
          <w:ilvl w:val="0"/>
          <w:numId w:val="2"/>
        </w:numPr>
        <w:spacing w:after="70" w:line="280"/>
      </w:pPr>
      <w:r>
        <w:rPr>
          <w:rFonts w:ascii="Calibri" w:cs="Calibri" w:eastAsia="Calibri" w:hAnsi="Calibri"/>
          <w:color w:val="0E1A1C"/>
          <w:sz w:val="21"/>
          <w:szCs w:val="21"/>
        </w:rPr>
        <w:t xml:space="preserve">Een eerlijk ambitieniveau: Associate is voor de meesten na niveau 1 het passende doel.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gebieden even zwaar behandelen in het plan. Prioriteren is de opdracht.</w:t>
      </w:r>
    </w:p>
    <w:p>
      <w:pPr>
        <w:pStyle w:val="ListParagraph"/>
        <w:numPr>
          <w:ilvl w:val="0"/>
          <w:numId w:val="2"/>
        </w:numPr>
        <w:spacing w:after="70" w:line="280"/>
      </w:pPr>
      <w:r>
        <w:rPr>
          <w:rFonts w:ascii="Calibri" w:cs="Calibri" w:eastAsia="Calibri" w:hAnsi="Calibri"/>
          <w:color w:val="0E1A1C"/>
          <w:sz w:val="21"/>
          <w:szCs w:val="21"/>
        </w:rPr>
        <w:t xml:space="preserve">Een plan van tien uur per week. Dat wordt niet gehaald en ondermijnt het hele plan.</w:t>
      </w:r>
    </w:p>
    <w:p>
      <w:pPr>
        <w:pStyle w:val="ListParagraph"/>
        <w:numPr>
          <w:ilvl w:val="0"/>
          <w:numId w:val="2"/>
        </w:numPr>
        <w:spacing w:after="70" w:line="280"/>
      </w:pPr>
      <w:r>
        <w:rPr>
          <w:rFonts w:ascii="Calibri" w:cs="Calibri" w:eastAsia="Calibri" w:hAnsi="Calibri"/>
          <w:color w:val="0E1A1C"/>
          <w:sz w:val="21"/>
          <w:szCs w:val="21"/>
        </w:rPr>
        <w:t xml:space="preserve">Te hoog scoren op zwaarwegende gebieden. Dat is de meest voorkomende oorzaak van een tegenvallende uitslag.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Op welk zwaarwegend gebied heb je jezelf misschien te hoog ingeschat?</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Waarin verschilt data-architectuur van datamodellering?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Modellering legt de betekenis van een domein vast; architectuur bewaakt de samenhang op ondernemingsniveau.</w:t>
      </w:r>
    </w:p>
    <w:p>
      <w:pPr>
        <w:spacing w:after="40" w:line="275"/>
        <w:ind w:left="420"/>
      </w:pPr>
      <w:r>
        <w:rPr>
          <w:rFonts w:ascii="Calibri" w:cs="Calibri" w:eastAsia="Calibri" w:hAnsi="Calibri"/>
          <w:color w:val="5F7375"/>
          <w:sz w:val="19"/>
          <w:szCs w:val="19"/>
        </w:rPr>
        <w:t xml:space="preserve">De data-architect beslist niet over betekenis — dat doet de data owner — maar bewaakt dat de betekenis consistent blijft over systemen heen. In een migratie is dat de zwaarste opgave.</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Welke soort metadata beschrijft wanneer een laadtaak draaide en hoeveel rijen zijn verwerkt?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Operationele metadata</w:t>
      </w:r>
    </w:p>
    <w:p>
      <w:pPr>
        <w:spacing w:after="40" w:line="275"/>
        <w:ind w:left="420"/>
      </w:pPr>
      <w:r>
        <w:rPr>
          <w:rFonts w:ascii="Calibri" w:cs="Calibri" w:eastAsia="Calibri" w:hAnsi="Calibri"/>
          <w:color w:val="5F7375"/>
          <w:sz w:val="19"/>
          <w:szCs w:val="19"/>
        </w:rPr>
        <w:t xml:space="preserve">Operationele metadata legt vast wat er is gebeurd. Het is de soort die je nodig hebt om te beantwoorden waarom een rapportage vanochtend niet klopte.</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is survivorship in master data management?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Bepalen welke bron per veld voorrang krijgt bij het samenstellen van het golden record.</w:t>
      </w:r>
    </w:p>
    <w:p>
      <w:pPr>
        <w:spacing w:after="40" w:line="275"/>
        <w:ind w:left="420"/>
      </w:pPr>
      <w:r>
        <w:rPr>
          <w:rFonts w:ascii="Calibri" w:cs="Calibri" w:eastAsia="Calibri" w:hAnsi="Calibri"/>
          <w:color w:val="5F7375"/>
          <w:sz w:val="19"/>
          <w:szCs w:val="19"/>
        </w:rPr>
        <w:t xml:space="preserve">Bij de werkgever met drie adressen is dit de kernvraag: welk adres wint, en waarom? Zonder expliciete survivorship-regels is het antwoord willekeurig.</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Bij welke MDM-stijl blijven de bronsystemen leidend en bestaat het centrale systeem alleen uit verwijzingen?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A — Registry</w:t>
      </w:r>
    </w:p>
    <w:p>
      <w:pPr>
        <w:spacing w:after="40" w:line="275"/>
        <w:ind w:left="420"/>
      </w:pPr>
      <w:r>
        <w:rPr>
          <w:rFonts w:ascii="Calibri" w:cs="Calibri" w:eastAsia="Calibri" w:hAnsi="Calibri"/>
          <w:color w:val="5F7375"/>
          <w:sz w:val="19"/>
          <w:szCs w:val="19"/>
        </w:rPr>
        <w:t xml:space="preserve">Registry is licht en snel in te voeren, maar lost de inconsistentie in de bronnen niet op. Het maakt zichtbaar dat er een probleem is; het verhelpt het niet.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Waarom wordt referentiedatabeheer zo vaak vergeten?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het zelden wijzigt, waardoor niemand merkt dat het beheer nergens is belegd.</w:t>
      </w:r>
    </w:p>
    <w:p>
      <w:pPr>
        <w:spacing w:after="40" w:line="275"/>
        <w:ind w:left="420"/>
      </w:pPr>
      <w:r>
        <w:rPr>
          <w:rFonts w:ascii="Calibri" w:cs="Calibri" w:eastAsia="Calibri" w:hAnsi="Calibri"/>
          <w:color w:val="5F7375"/>
          <w:sz w:val="19"/>
          <w:szCs w:val="19"/>
        </w:rPr>
        <w:t xml:space="preserve">Tot een code verandert — en dan blijkt dat vijf systemen elk een eigen kopie van de lijst hebben, die niet allemaal worden bijgewerkt.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Waarom is document- en contentmanagement het kennisgebied met het hoogste risico?</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het grootste deel van wat een organisatie bewaart ongestructureerd is en het beheer daar het zwakst is.</w:t>
      </w:r>
    </w:p>
    <w:p>
      <w:pPr>
        <w:spacing w:after="40" w:line="275"/>
        <w:ind w:left="420"/>
      </w:pPr>
      <w:r>
        <w:rPr>
          <w:rFonts w:ascii="Calibri" w:cs="Calibri" w:eastAsia="Calibri" w:hAnsi="Calibri"/>
          <w:color w:val="5F7375"/>
          <w:sz w:val="19"/>
          <w:szCs w:val="19"/>
        </w:rPr>
        <w:t xml:space="preserve">De scheidingsstukken in een gedeelde map bevatten bijzondere gegevens, hebben geen bewaartermijn, geen eigenaar en zijn niet doorzoekbaar. Geen datamanagementprogramma begint daar.</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de governancevraag die bij self-service BI hoort?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Wie mag publiceren, welke rapportage is officieel, en wie beslist dat?</w:t>
      </w:r>
    </w:p>
    <w:p>
      <w:pPr>
        <w:spacing w:after="40" w:line="275"/>
        <w:ind w:left="420"/>
      </w:pPr>
      <w:r>
        <w:rPr>
          <w:rFonts w:ascii="Calibri" w:cs="Calibri" w:eastAsia="Calibri" w:hAnsi="Calibri"/>
          <w:color w:val="5F7375"/>
          <w:sz w:val="19"/>
          <w:szCs w:val="19"/>
        </w:rPr>
        <w:t xml:space="preserve">Self-service is winst in snelheid en risico voor consistentie. Precies zo komen drie afdelingen aan drie verschillende deelnemersaantallen.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In welke fase van de modellevensloop wordt bias uit de historie een probleem?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het trainen — het model leert de patronen die in de historische data zitten, inclusief de ongewenste.</w:t>
      </w:r>
    </w:p>
    <w:p>
      <w:pPr>
        <w:spacing w:after="40" w:line="275"/>
        <w:ind w:left="420"/>
      </w:pPr>
      <w:r>
        <w:rPr>
          <w:rFonts w:ascii="Calibri" w:cs="Calibri" w:eastAsia="Calibri" w:hAnsi="Calibri"/>
          <w:color w:val="5F7375"/>
          <w:sz w:val="19"/>
          <w:szCs w:val="19"/>
        </w:rPr>
        <w:t xml:space="preserve">Een model dat op historische data is getraind, herhaalt de patronen die daarin zitten. Deel 27 werkt dit uit tot volledige AI-governance.</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kenmerkt volwassenheidsniveau 2?</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Sommige processen zijn vastgelegd, maar per afdeling verschillend.</w:t>
      </w:r>
    </w:p>
    <w:p>
      <w:pPr>
        <w:spacing w:after="40" w:line="275"/>
        <w:ind w:left="420"/>
      </w:pPr>
      <w:r>
        <w:rPr>
          <w:rFonts w:ascii="Calibri" w:cs="Calibri" w:eastAsia="Calibri" w:hAnsi="Calibri"/>
          <w:color w:val="5F7375"/>
          <w:sz w:val="19"/>
          <w:szCs w:val="19"/>
        </w:rPr>
        <w:t xml:space="preserve">Twee afdelingen doen het goed en de rest niet — dat is het herkenbare beeld van niveau 2, en het is waar de meeste organisaties zitten.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de grootste valkuil bij een volwassenheidsmeting?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meting als doel behandelen in plaats van als vertrekpunt.</w:t>
      </w:r>
    </w:p>
    <w:p>
      <w:pPr>
        <w:spacing w:after="40" w:line="275"/>
        <w:ind w:left="420"/>
      </w:pPr>
      <w:r>
        <w:rPr>
          <w:rFonts w:ascii="Calibri" w:cs="Calibri" w:eastAsia="Calibri" w:hAnsi="Calibri"/>
          <w:color w:val="5F7375"/>
          <w:sz w:val="19"/>
          <w:szCs w:val="19"/>
        </w:rPr>
        <w:t xml:space="preserve">Een score verandert niets. Vraag bij elke score bovendien: waaruit blijkt dat? Zelfbeoordeling zonder bewijs is een gevoel met een cijfer eromheen.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De vraag "hoeveel actieve deelnemers hadden wij op 1 januari" raakt zeven kennisgebieden. Wat volgt daaruit?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"de datakwaliteit is slecht" een onbruikbare diagnose is, omdat het probleem op zeven plekken tegelijk zit.</w:t>
      </w:r>
    </w:p>
    <w:p>
      <w:pPr>
        <w:spacing w:after="40" w:line="275"/>
        <w:ind w:left="420"/>
      </w:pPr>
      <w:r>
        <w:rPr>
          <w:rFonts w:ascii="Calibri" w:cs="Calibri" w:eastAsia="Calibri" w:hAnsi="Calibri"/>
          <w:color w:val="5F7375"/>
          <w:sz w:val="19"/>
          <w:szCs w:val="19"/>
        </w:rPr>
        <w:t xml:space="preserve">Alleen door de gebieden te scheiden kun je bepalen waar je begint. Dat is precies waarom de scherpe formulering uit deel 4 zo veel oplevert.</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Waarom noteer je bij het studeren de hoofdstuknummers van het DMBOK?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het boek tijdens het examen je enige hulpmiddel is en snel opzoeken minuten scheelt.</w:t>
      </w:r>
    </w:p>
    <w:p>
      <w:pPr>
        <w:spacing w:after="40" w:line="275"/>
        <w:ind w:left="420"/>
      </w:pPr>
      <w:r>
        <w:rPr>
          <w:rFonts w:ascii="Calibri" w:cs="Calibri" w:eastAsia="Calibri" w:hAnsi="Calibri"/>
          <w:color w:val="5F7375"/>
          <w:sz w:val="19"/>
          <w:szCs w:val="19"/>
        </w:rPr>
        <w:t xml:space="preserve">Opzoeken zonder zoeken is een vaardigheid op zich, en die traint alleen door het te doen. Die gewonnen minuten heb je bij de laatste vragen nodig.</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indeling in veertien kennisgebieden behulpzaam of juist een bron van hokjesdenken?</w:t>
      </w:r>
    </w:p>
    <w:p>
      <w:pPr>
        <w:pStyle w:val="ListParagraph"/>
        <w:numPr>
          <w:ilvl w:val="0"/>
          <w:numId w:val="3"/>
        </w:numPr>
        <w:spacing w:after="70" w:line="280"/>
      </w:pPr>
      <w:r>
        <w:rPr>
          <w:rFonts w:ascii="Calibri" w:cs="Calibri" w:eastAsia="Calibri" w:hAnsi="Calibri"/>
          <w:color w:val="0E1A1C"/>
          <w:sz w:val="21"/>
          <w:szCs w:val="21"/>
        </w:rPr>
        <w:t xml:space="preserve">Waarom begint vrijwel geen enkel datamanagementprogramma bij ongestructureerde informatie, terwijl daar het grootste risico zit?</w:t>
      </w:r>
    </w:p>
    <w:p>
      <w:pPr>
        <w:pStyle w:val="ListParagraph"/>
        <w:numPr>
          <w:ilvl w:val="0"/>
          <w:numId w:val="3"/>
        </w:numPr>
        <w:spacing w:after="70" w:line="280"/>
      </w:pPr>
      <w:r>
        <w:rPr>
          <w:rFonts w:ascii="Calibri" w:cs="Calibri" w:eastAsia="Calibri" w:hAnsi="Calibri"/>
          <w:color w:val="0E1A1C"/>
          <w:sz w:val="21"/>
          <w:szCs w:val="21"/>
        </w:rPr>
        <w:t xml:space="preserve">Kan een organisatie op niveau 2 blijven zonder dat dat een probleem is?</w:t>
      </w:r>
    </w:p>
    <w:p>
      <w:pPr>
        <w:pStyle w:val="ListParagraph"/>
        <w:numPr>
          <w:ilvl w:val="0"/>
          <w:numId w:val="3"/>
        </w:numPr>
        <w:spacing w:after="70" w:line="280"/>
      </w:pPr>
      <w:r>
        <w:rPr>
          <w:rFonts w:ascii="Calibri" w:cs="Calibri" w:eastAsia="Calibri" w:hAnsi="Calibri"/>
          <w:color w:val="0E1A1C"/>
          <w:sz w:val="21"/>
          <w:szCs w:val="21"/>
        </w:rPr>
        <w:t xml:space="preserve">Welk kennisgebied zal over vijf jaar het zwaarst wegen — en waarom denk je dat?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dezelfde exercitie doen met een tweede vraag uit de eigen praktijk.</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volwassenheidsmeting te ontwerpen: welke vragen zou je stellen om bewijs te verzamelen?</w:t>
      </w:r>
    </w:p>
    <w:p>
      <w:pPr>
        <w:pStyle w:val="ListParagraph"/>
        <w:numPr>
          <w:ilvl w:val="0"/>
          <w:numId w:val="2"/>
        </w:numPr>
        <w:spacing w:after="70" w:line="280"/>
      </w:pPr>
      <w:r>
        <w:rPr>
          <w:rFonts w:ascii="Calibri" w:cs="Calibri" w:eastAsia="Calibri" w:hAnsi="Calibri"/>
          <w:color w:val="0E1A1C"/>
          <w:sz w:val="21"/>
          <w:szCs w:val="21"/>
        </w:rPr>
        <w:t xml:space="preserve">Laat een korte presentatie voorbereiden over het minst bekende kennisgebied, voor de rest van de groep.</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2 tot zes artefacten.</w:t>
      </w:r>
    </w:p>
    <w:p>
      <w:pPr>
        <w:pStyle w:val="ListParagraph"/>
        <w:numPr>
          <w:ilvl w:val="0"/>
          <w:numId w:val="2"/>
        </w:numPr>
        <w:spacing w:after="70" w:line="280"/>
      </w:pPr>
      <w:r>
        <w:rPr>
          <w:rFonts w:ascii="Calibri" w:cs="Calibri" w:eastAsia="Calibri" w:hAnsi="Calibri"/>
          <w:color w:val="0E1A1C"/>
          <w:sz w:val="21"/>
          <w:szCs w:val="21"/>
        </w:rPr>
        <w:t xml:space="preserve">Geef bij opdracht 3 de eerste twee gebieden voor als voorbeeld.</w:t>
      </w:r>
    </w:p>
    <w:p>
      <w:pPr>
        <w:pStyle w:val="ListParagraph"/>
        <w:numPr>
          <w:ilvl w:val="0"/>
          <w:numId w:val="2"/>
        </w:numPr>
        <w:spacing w:after="70" w:line="280"/>
      </w:pPr>
      <w:r>
        <w:rPr>
          <w:rFonts w:ascii="Calibri" w:cs="Calibri" w:eastAsia="Calibri" w:hAnsi="Calibri"/>
          <w:color w:val="0E1A1C"/>
          <w:sz w:val="21"/>
          <w:szCs w:val="21"/>
        </w:rPr>
        <w:t xml:space="preserve">Laat opdracht 4 alleen op Meridiaan doen, zonder de eigen organisatie.</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moet ik gebieden kennen die ik nooit gebruik?"</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Omdat het examen ze toetst, en omdat ze verklaren waar de gebieden die je wél gebruikt tegenaan lopen. Beide redenen zijn eerlijk.</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het hele DMBOK lezen?"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maar je moet er wél snel in kunnen opzoeken. Dat is precies waarom dit deel met het boek erbij wordt gedaan.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Associate genoeg voor mijn cv?"</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een startende rol zeker. Practitioner vraagt twee jaar ervaring en twee specialistexamens; dat is niveau 2.</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"Wanneer schrijf ik me in voor het 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 deel 9, op basis van je proefexamenscore. Deel 10 sluit af met een go of no-go op grond van die score.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8 — Het complete kennislandschap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complete kennislandschap — Docentenhandleiding</dc:title>
  <dc:creator>Ductus B.V.</dc:creator>
  <dc:description>Cursusmateriaal datamanagement, data-analyse en data governance</dc:description>
  <cp:lastModifiedBy>Un-named</cp:lastModifiedBy>
  <cp:revision>1</cp:revision>
  <dcterms:created xsi:type="dcterms:W3CDTF">2026-08-05T10:35:01.922Z</dcterms:created>
  <dcterms:modified xsi:type="dcterms:W3CDTF">2026-08-05T10:35:01.922Z</dcterms:modified>
</cp:coreProperties>
</file>

<file path=docProps/custom.xml><?xml version="1.0" encoding="utf-8"?>
<Properties xmlns="http://schemas.openxmlformats.org/officeDocument/2006/custom-properties" xmlns:vt="http://schemas.openxmlformats.org/officeDocument/2006/docPropsVTypes"/>
</file>