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9</w:t>
      </w:r>
    </w:p>
    <w:p>
      <w:pPr>
        <w:spacing w:after="120"/>
      </w:pPr>
      <w:r>
        <w:rPr>
          <w:rFonts w:ascii="Cambria" w:cs="Cambria" w:eastAsia="Cambria" w:hAnsi="Cambria"/>
          <w:b/>
          <w:bCs/>
          <w:color w:val="0E1A1C"/>
          <w:sz w:val="56"/>
          <w:szCs w:val="56"/>
        </w:rPr>
        <w:t xml:space="preserve">Examentraining Fundamentals</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4 uur klassikaal, plus 4 uur zelfstandig oefenen</w:t>
      </w:r>
    </w:p>
    <w:p>
      <w:pPr>
        <w:spacing w:after="40"/>
      </w:pPr>
      <w:r>
        <w:rPr>
          <w:rFonts w:ascii="Consolas" w:cs="Consolas" w:eastAsia="Consolas" w:hAnsi="Consolas"/>
          <w:color w:val="5F7375"/>
          <w:sz w:val="17"/>
          <w:szCs w:val="17"/>
        </w:rPr>
        <w:t xml:space="preserve">EXAMENDOEL  </w:t>
      </w:r>
      <w:r>
        <w:rPr>
          <w:rFonts w:ascii="Calibri" w:cs="Calibri" w:eastAsia="Calibri" w:hAnsi="Calibri"/>
          <w:b/>
          <w:bCs/>
          <w:color w:val="0E1A1C"/>
          <w:sz w:val="20"/>
          <w:szCs w:val="20"/>
        </w:rPr>
        <w:t xml:space="preserve">CDMP Associate — ten minste 60%</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DMBOK2 en je studieplan uit deel 8</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Controleer de logistiek bij de bron</w:t>
            </w:r>
          </w:p>
          <w:p>
            <w:pPr>
              <w:spacing w:after="60" w:line="280"/>
            </w:pPr>
            <w:r>
              <w:rPr>
                <w:rFonts w:ascii="Calibri" w:cs="Calibri" w:eastAsia="Calibri" w:hAnsi="Calibri"/>
                <w:color w:val="0E1A1C"/>
                <w:sz w:val="20"/>
                <w:szCs w:val="20"/>
              </w:rPr>
              <w:t xml:space="preserve">Vraagaantal, tijdsduur, kosten, proctoringregels, toegestane hulpmiddelen en geldigheidsduur wijzigen regelmatig. De gegevens in dit deel zijn gecontroleerd in augustus 2026. Verifieer ze op cdmp.info en dama.org vóórdat je je inschrijft — en zeker vóór je bepaalt hoe je je boek voorbereidt.</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Je kent de stof. Dit deel gaat over iets anders: hoe het examen zich gedraagt, en hoe je voorkomt dat je punten verliest op vragen die je inhoudelijk beheerst. Dat gebeurt vaker dan je denkt — door tempo, door de manier waarop een vraag is geformuleerd, of doordat je vijf minuten kwijtraakt aan het zoeken naar een hoofdstuk.</w:t>
      </w:r>
    </w:p>
    <w:p>
      <w:pPr>
        <w:spacing w:after="140" w:line="288"/>
      </w:pPr>
      <w:r>
        <w:rPr>
          <w:rFonts w:ascii="Calibri" w:cs="Calibri" w:eastAsia="Calibri" w:hAnsi="Calibri"/>
          <w:color w:val="0E1A1C"/>
          <w:sz w:val="21"/>
          <w:szCs w:val="21"/>
        </w:rPr>
        <w:t xml:space="preserve">Het examen is open boek, wat mensen misleidt. Het klinkt als een geruststelling en het is een valstrik: wie denkt dat hij het opzoekt, komt tijd tekort. Het boek is er voor de vijf tot tien vragen waarbij je twijfelt, niet voor de honderd.</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kent de opzet van het examen en de logistiek eromheen.</w:t>
      </w:r>
    </w:p>
    <w:p>
      <w:pPr>
        <w:pStyle w:val="ListParagraph"/>
        <w:numPr>
          <w:ilvl w:val="0"/>
          <w:numId w:val="2"/>
        </w:numPr>
        <w:spacing w:after="70" w:line="280"/>
      </w:pPr>
      <w:r>
        <w:rPr>
          <w:rFonts w:ascii="Calibri" w:cs="Calibri" w:eastAsia="Calibri" w:hAnsi="Calibri"/>
          <w:color w:val="0E1A1C"/>
          <w:sz w:val="21"/>
          <w:szCs w:val="21"/>
        </w:rPr>
        <w:t xml:space="preserve">Je verdeelt je studietijd op grond van wegingen in plaats van op gevoel.</w:t>
      </w:r>
    </w:p>
    <w:p>
      <w:pPr>
        <w:pStyle w:val="ListParagraph"/>
        <w:numPr>
          <w:ilvl w:val="0"/>
          <w:numId w:val="2"/>
        </w:numPr>
        <w:spacing w:after="70" w:line="280"/>
      </w:pPr>
      <w:r>
        <w:rPr>
          <w:rFonts w:ascii="Calibri" w:cs="Calibri" w:eastAsia="Calibri" w:hAnsi="Calibri"/>
          <w:color w:val="0E1A1C"/>
          <w:sz w:val="21"/>
          <w:szCs w:val="21"/>
        </w:rPr>
        <w:t xml:space="preserve">Je hanteert een tempostrategie die je alle honderd vragen laat halen.</w:t>
      </w:r>
    </w:p>
    <w:p>
      <w:pPr>
        <w:pStyle w:val="ListParagraph"/>
        <w:numPr>
          <w:ilvl w:val="0"/>
          <w:numId w:val="2"/>
        </w:numPr>
        <w:spacing w:after="70" w:line="280"/>
      </w:pPr>
      <w:r>
        <w:rPr>
          <w:rFonts w:ascii="Calibri" w:cs="Calibri" w:eastAsia="Calibri" w:hAnsi="Calibri"/>
          <w:color w:val="0E1A1C"/>
          <w:sz w:val="21"/>
          <w:szCs w:val="21"/>
        </w:rPr>
        <w:t xml:space="preserve">Je bereidt je boek zo voor dat opzoeken seconden kost in plaats van minuten.</w:t>
      </w:r>
    </w:p>
    <w:p>
      <w:pPr>
        <w:pStyle w:val="ListParagraph"/>
        <w:numPr>
          <w:ilvl w:val="0"/>
          <w:numId w:val="2"/>
        </w:numPr>
        <w:spacing w:after="70" w:line="280"/>
      </w:pPr>
      <w:r>
        <w:rPr>
          <w:rFonts w:ascii="Calibri" w:cs="Calibri" w:eastAsia="Calibri" w:hAnsi="Calibri"/>
          <w:color w:val="0E1A1C"/>
          <w:sz w:val="21"/>
          <w:szCs w:val="21"/>
        </w:rPr>
        <w:t xml:space="preserve">Je herkent de vier vraagtypen en past per type de juiste aanpak toe.</w:t>
      </w:r>
    </w:p>
    <w:p>
      <w:pPr>
        <w:pStyle w:val="ListParagraph"/>
        <w:numPr>
          <w:ilvl w:val="0"/>
          <w:numId w:val="2"/>
        </w:numPr>
        <w:spacing w:after="70" w:line="280"/>
      </w:pPr>
      <w:r>
        <w:rPr>
          <w:rFonts w:ascii="Calibri" w:cs="Calibri" w:eastAsia="Calibri" w:hAnsi="Calibri"/>
          <w:color w:val="0E1A1C"/>
          <w:sz w:val="21"/>
          <w:szCs w:val="21"/>
        </w:rPr>
        <w:t xml:space="preserve">Je herkent de tien verwarparen waarop de meeste punten verloren gaan.</w:t>
      </w:r>
    </w:p>
    <w:p>
      <w:pPr>
        <w:pStyle w:val="ListParagraph"/>
        <w:numPr>
          <w:ilvl w:val="0"/>
          <w:numId w:val="2"/>
        </w:numPr>
        <w:spacing w:after="70" w:line="280"/>
      </w:pPr>
      <w:r>
        <w:rPr>
          <w:rFonts w:ascii="Calibri" w:cs="Calibri" w:eastAsia="Calibri" w:hAnsi="Calibri"/>
          <w:color w:val="0E1A1C"/>
          <w:sz w:val="21"/>
          <w:szCs w:val="21"/>
        </w:rPr>
        <w:t xml:space="preserve">Je bepaalt op grond van je proefexamenscore of je klaar bent om je in te schrijven.</w:t>
      </w:r>
    </w:p>
    <w:p>
      <w:r>
        <w:br w:type="page"/>
      </w:r>
    </w:p>
    <w:p>
      <w:pPr>
        <w:pStyle w:val="Heading1"/>
        <w:spacing w:after="200" w:before="420"/>
      </w:pPr>
      <w:r>
        <w:rPr>
          <w:rFonts w:ascii="Cambria" w:cs="Cambria" w:eastAsia="Cambria" w:hAnsi="Cambria"/>
          <w:b/>
          <w:bCs/>
          <w:color w:val="1B4A48"/>
          <w:sz w:val="34"/>
          <w:szCs w:val="34"/>
        </w:rPr>
        <w:t xml:space="preserve">2. Hoe het examen zich gedraagt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68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Onderwerp</w:t>
            </w:r>
          </w:p>
        </w:tc>
        <w:tc>
          <w:tcPr>
            <w:tcW w:type="dxa" w:w="6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moet weten</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Vorm</w:t>
            </w:r>
          </w:p>
        </w:tc>
        <w:tc>
          <w:tcPr>
            <w:tcW w:type="dxa" w:w="6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100 meerkeuzevragen, online geproctord</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Tijd</w:t>
            </w:r>
          </w:p>
        </w:tc>
        <w:tc>
          <w:tcPr>
            <w:tcW w:type="dxa" w:w="6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minuten; extra tijd beschikbaar voor wie geen moedertaalspreker Engels is</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Hulpmiddel</w:t>
            </w:r>
          </w:p>
        </w:tc>
        <w:tc>
          <w:tcPr>
            <w:tcW w:type="dxa" w:w="6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Uitsluitend de DAMA-DMBOK2 Revised Edition — papier óf digitaal, niet beide</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Kosten</w:t>
            </w:r>
          </w:p>
        </w:tc>
        <w:tc>
          <w:tcPr>
            <w:tcW w:type="dxa" w:w="6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Circa $311 per poging; controleer de actuele prijs</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Geldigheid</w:t>
            </w:r>
          </w:p>
        </w:tc>
        <w:tc>
          <w:tcPr>
            <w:tcW w:type="dxa" w:w="6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 geslaagd examen drie jaar geldig, daarna hercertificering</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Uitkomst</w:t>
            </w:r>
          </w:p>
        </w:tc>
        <w:tc>
          <w:tcPr>
            <w:tcW w:type="dxa" w:w="6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60–69% Associate · 70–79% Practitioner · 80%+ Master, telkens met aanvullende eisen boven Associate</w:t>
            </w:r>
          </w:p>
        </w:tc>
      </w:tr>
    </w:tbl>
    <w:p>
      <w:pPr>
        <w:spacing w:after="160"/>
      </w:pPr>
      <w:r>
        <w:t xml:space="preserve"/>
      </w:r>
    </w:p>
    <w:p>
      <w:pPr>
        <w:spacing w:after="140" w:line="288"/>
      </w:pPr>
      <w:r>
        <w:rPr>
          <w:rFonts w:ascii="Calibri" w:cs="Calibri" w:eastAsia="Calibri" w:hAnsi="Calibri"/>
          <w:color w:val="0E1A1C"/>
          <w:sz w:val="21"/>
          <w:szCs w:val="21"/>
        </w:rPr>
        <w:t xml:space="preserve">Twee dingen die deelnemers verrassen. Ten eerste: er is één examen voor alle drie de niveaus — de score bepaalt de uitkomst. Je kunt je dus niet "voor Associate" inschrijven; je schrijft je in voor Fundamentals en ziet waar je uitkomt. Ten tweede: de extra tijd voor niet-moedertaalsprekers moet je aanvragen, niet aannemen. Regel dat bij inschrijving.</w:t>
      </w:r>
    </w:p>
    <w:p>
      <w:pPr>
        <w:pStyle w:val="Heading3"/>
        <w:spacing w:after="100" w:before="240"/>
      </w:pPr>
      <w:r>
        <w:rPr>
          <w:rFonts w:ascii="Calibri" w:cs="Calibri" w:eastAsia="Calibri" w:hAnsi="Calibri"/>
          <w:b/>
          <w:bCs/>
          <w:color w:val="3F7D74"/>
          <w:sz w:val="22"/>
          <w:szCs w:val="22"/>
        </w:rPr>
        <w:t xml:space="preserve">Technische voorbereiding voor proctoring</w:t>
      </w:r>
    </w:p>
    <w:p>
      <w:pPr>
        <w:pStyle w:val="ListParagraph"/>
        <w:numPr>
          <w:ilvl w:val="0"/>
          <w:numId w:val="3"/>
        </w:numPr>
        <w:spacing w:after="70" w:line="280"/>
      </w:pPr>
      <w:r>
        <w:rPr>
          <w:rFonts w:ascii="Calibri" w:cs="Calibri" w:eastAsia="Calibri" w:hAnsi="Calibri"/>
          <w:color w:val="0E1A1C"/>
          <w:sz w:val="21"/>
          <w:szCs w:val="21"/>
        </w:rPr>
        <w:t xml:space="preserve">Test je camera, microfoon en internetverbinding ruim vóór de examendag, niet op de dag zelf.</w:t>
      </w:r>
    </w:p>
    <w:p>
      <w:pPr>
        <w:pStyle w:val="ListParagraph"/>
        <w:numPr>
          <w:ilvl w:val="0"/>
          <w:numId w:val="3"/>
        </w:numPr>
        <w:spacing w:after="70" w:line="280"/>
      </w:pPr>
      <w:r>
        <w:rPr>
          <w:rFonts w:ascii="Calibri" w:cs="Calibri" w:eastAsia="Calibri" w:hAnsi="Calibri"/>
          <w:color w:val="0E1A1C"/>
          <w:sz w:val="21"/>
          <w:szCs w:val="21"/>
        </w:rPr>
        <w:t xml:space="preserve">Zorg voor een lege, rustige ruimte. Bij een geproctord examen moet je die doorgaans kunnen tonen.</w:t>
      </w:r>
    </w:p>
    <w:p>
      <w:pPr>
        <w:pStyle w:val="ListParagraph"/>
        <w:numPr>
          <w:ilvl w:val="0"/>
          <w:numId w:val="3"/>
        </w:numPr>
        <w:spacing w:after="70" w:line="280"/>
      </w:pPr>
      <w:r>
        <w:rPr>
          <w:rFonts w:ascii="Calibri" w:cs="Calibri" w:eastAsia="Calibri" w:hAnsi="Calibri"/>
          <w:color w:val="0E1A1C"/>
          <w:sz w:val="21"/>
          <w:szCs w:val="21"/>
        </w:rPr>
        <w:t xml:space="preserve">Leg je identiteitsbewijs klaar.</w:t>
      </w:r>
    </w:p>
    <w:p>
      <w:pPr>
        <w:pStyle w:val="ListParagraph"/>
        <w:numPr>
          <w:ilvl w:val="0"/>
          <w:numId w:val="3"/>
        </w:numPr>
        <w:spacing w:after="70" w:line="280"/>
      </w:pPr>
      <w:r>
        <w:rPr>
          <w:rFonts w:ascii="Calibri" w:cs="Calibri" w:eastAsia="Calibri" w:hAnsi="Calibri"/>
          <w:color w:val="0E1A1C"/>
          <w:sz w:val="21"/>
          <w:szCs w:val="21"/>
        </w:rPr>
        <w:t xml:space="preserve">Als je een papieren boek gebruikt: check vooraf hoe de proctor daarmee omgaat en wat je ermee mag doen tijdens het examen.</w:t>
      </w:r>
    </w:p>
    <w:p>
      <w:pPr>
        <w:pStyle w:val="Heading1"/>
        <w:spacing w:after="200" w:before="420"/>
      </w:pPr>
      <w:r>
        <w:rPr>
          <w:rFonts w:ascii="Cambria" w:cs="Cambria" w:eastAsia="Cambria" w:hAnsi="Cambria"/>
          <w:b/>
          <w:bCs/>
          <w:color w:val="1B4A48"/>
          <w:sz w:val="34"/>
          <w:szCs w:val="34"/>
        </w:rPr>
        <w:t xml:space="preserve">3. Waar je studietijd het meeste oplevert</w:t>
      </w:r>
    </w:p>
    <w:p>
      <w:pPr>
        <w:spacing w:after="140" w:line="288"/>
      </w:pPr>
      <w:r>
        <w:rPr>
          <w:rFonts w:ascii="Calibri" w:cs="Calibri" w:eastAsia="Calibri" w:hAnsi="Calibri"/>
          <w:color w:val="0E1A1C"/>
          <w:sz w:val="21"/>
          <w:szCs w:val="21"/>
        </w:rPr>
        <w:t xml:space="preserve">Niet alle kennisgebieden wegen even zwaar. Vier gebieden wegen elk ongeveer elf procent en twee ongeveer tien. Samen is dat ruwweg de helft van het examen.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000"/>
        <w:gridCol w:w="2600"/>
        <w:gridCol w:w="3420"/>
      </w:tblGrid>
      <w:tr>
        <w:trPr>
          <w:tblHeader/>
        </w:trPr>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Gebied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Indicatief gewicht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Behandeld in</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Governance</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11%</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7</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Modeling &amp; Design</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11%</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2</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Quality</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11%</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4</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Metadata Management</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11%</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Reference &amp; Master Data</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10%</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8</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Warehousing &amp; BI</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10%</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3 en 6</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Overige acht gebieden</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Samen de rest</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 3, 5, 7 en 8</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rekensom die je maakt</w:t>
            </w:r>
          </w:p>
          <w:p>
            <w:pPr>
              <w:spacing w:after="60" w:line="280"/>
            </w:pPr>
            <w:r>
              <w:rPr>
                <w:rFonts w:ascii="Calibri" w:cs="Calibri" w:eastAsia="Calibri" w:hAnsi="Calibri"/>
                <w:color w:val="0E1A1C"/>
                <w:sz w:val="20"/>
                <w:szCs w:val="20"/>
              </w:rPr>
              <w:t xml:space="preserve">Zet je zelfinschatting uit deel 8 naast deze kolom. Een gebied waarop je jezelf een 2 gaf en dat elf procent weegt, is elf punten waarvan je er de helft misloopt. Een gebied waarop je een 2 gaf en dat drie procent weegt, kost je hooguit anderhalve punt. Studeer waar het gewicht zit, niet waar het ongemak zit.</w:t>
            </w:r>
          </w:p>
        </w:tc>
      </w:tr>
    </w:tbl>
    <w:p>
      <w:pPr>
        <w:spacing w:after="140" w:line="288"/>
      </w:pPr>
      <w:r>
        <w:rPr>
          <w:rFonts w:ascii="Calibri" w:cs="Calibri" w:eastAsia="Calibri" w:hAnsi="Calibri"/>
          <w:color w:val="0E1A1C"/>
          <w:sz w:val="21"/>
          <w:szCs w:val="21"/>
        </w:rPr>
        <w:t xml:space="preserve">Let op: de wegingen zijn indicatief en kunnen wijzigen. Controleer de actuele opgave op cdmp.info voordat je je plan definitief maakt.</w:t>
      </w:r>
    </w:p>
    <w:p>
      <w:r>
        <w:br w:type="page"/>
      </w:r>
    </w:p>
    <w:p>
      <w:pPr>
        <w:pStyle w:val="Heading1"/>
        <w:spacing w:after="200" w:before="420"/>
      </w:pPr>
      <w:r>
        <w:rPr>
          <w:rFonts w:ascii="Cambria" w:cs="Cambria" w:eastAsia="Cambria" w:hAnsi="Cambria"/>
          <w:b/>
          <w:bCs/>
          <w:color w:val="1B4A48"/>
          <w:sz w:val="34"/>
          <w:szCs w:val="34"/>
        </w:rPr>
        <w:t xml:space="preserve">4. Tempo</w:t>
      </w:r>
    </w:p>
    <w:p>
      <w:pPr>
        <w:spacing w:after="140" w:line="288"/>
      </w:pPr>
      <w:r>
        <w:rPr>
          <w:rFonts w:ascii="Calibri" w:cs="Calibri" w:eastAsia="Calibri" w:hAnsi="Calibri"/>
          <w:color w:val="0E1A1C"/>
          <w:sz w:val="21"/>
          <w:szCs w:val="21"/>
        </w:rPr>
        <w:t xml:space="preserve">Honderd vragen in negentig minuten is vierenvijftig seconden per vraag. Dat lijkt krap en is het niet — mits je niet blijft hangen. De meeste mensen die het niet halen, komen niet aan de laatste twintig vragen toe.</w:t>
      </w:r>
    </w:p>
    <w:p>
      <w:pPr>
        <w:pStyle w:val="Heading3"/>
        <w:spacing w:after="100" w:before="240"/>
      </w:pPr>
      <w:r>
        <w:rPr>
          <w:rFonts w:ascii="Calibri" w:cs="Calibri" w:eastAsia="Calibri" w:hAnsi="Calibri"/>
          <w:b/>
          <w:bCs/>
          <w:color w:val="3F7D74"/>
          <w:sz w:val="22"/>
          <w:szCs w:val="22"/>
        </w:rPr>
        <w:t xml:space="preserve">De drie-rondenstrategie</w:t>
      </w:r>
    </w:p>
    <w:p>
      <w:pPr>
        <w:pStyle w:val="ListParagraph"/>
        <w:numPr>
          <w:ilvl w:val="0"/>
          <w:numId w:val="4"/>
        </w:numPr>
        <w:spacing w:after="70" w:line="280"/>
      </w:pPr>
      <w:r>
        <w:rPr>
          <w:rFonts w:ascii="Calibri" w:cs="Calibri" w:eastAsia="Calibri" w:hAnsi="Calibri"/>
          <w:color w:val="0E1A1C"/>
          <w:sz w:val="21"/>
          <w:szCs w:val="21"/>
        </w:rPr>
        <w:t xml:space="preserve">Ronde één, ongeveer zestig minuten: beantwoord alles waarvan je het antwoord direct weet. Twijfel je langer dan dertig seconden, markeer de vraag en ga door. Niet opzoeken, niet piekeren.</w:t>
      </w:r>
    </w:p>
    <w:p>
      <w:pPr>
        <w:pStyle w:val="ListParagraph"/>
        <w:numPr>
          <w:ilvl w:val="0"/>
          <w:numId w:val="4"/>
        </w:numPr>
        <w:spacing w:after="70" w:line="280"/>
      </w:pPr>
      <w:r>
        <w:rPr>
          <w:rFonts w:ascii="Calibri" w:cs="Calibri" w:eastAsia="Calibri" w:hAnsi="Calibri"/>
          <w:color w:val="0E1A1C"/>
          <w:sz w:val="21"/>
          <w:szCs w:val="21"/>
        </w:rPr>
        <w:t xml:space="preserve">Ronde twee, ongeveer twintig minuten: pak de gemarkeerde vragen. Nu mag je nadenken, en bij hooguit vijf tot tien vragen opzoeken.</w:t>
      </w:r>
    </w:p>
    <w:p>
      <w:pPr>
        <w:pStyle w:val="ListParagraph"/>
        <w:numPr>
          <w:ilvl w:val="0"/>
          <w:numId w:val="4"/>
        </w:numPr>
        <w:spacing w:after="70" w:line="280"/>
      </w:pPr>
      <w:r>
        <w:rPr>
          <w:rFonts w:ascii="Calibri" w:cs="Calibri" w:eastAsia="Calibri" w:hAnsi="Calibri"/>
          <w:color w:val="0E1A1C"/>
          <w:sz w:val="21"/>
          <w:szCs w:val="21"/>
        </w:rPr>
        <w:t xml:space="preserve">Ronde drie, ongeveer tien minuten: controleer of alles is ingevuld. Laat nooit een vraag open — er is geen aftrek voor een fout antwoord, dus een gok is altijd beter dan niets.</w:t>
      </w:r>
    </w:p>
    <w:p>
      <w:pPr>
        <w:spacing w:after="140" w:line="288"/>
      </w:pPr>
      <w:r>
        <w:rPr>
          <w:rFonts w:ascii="Calibri" w:cs="Calibri" w:eastAsia="Calibri" w:hAnsi="Calibri"/>
          <w:color w:val="0E1A1C"/>
          <w:sz w:val="21"/>
          <w:szCs w:val="21"/>
        </w:rPr>
        <w:t xml:space="preserve">De discipline zit in ronde één. De verleiding om die ene lastige vraag toch even op te zoeken kost je gemiddeld drie minuten, en drie van die momenten kosten je de laatste tien vragen. Markeer en ga door — dat voelt onprettig en het is de hele strategie.</w:t>
      </w:r>
    </w:p>
    <w:p>
      <w:pPr>
        <w:pStyle w:val="Heading3"/>
        <w:spacing w:after="100" w:before="240"/>
      </w:pPr>
      <w:r>
        <w:rPr>
          <w:rFonts w:ascii="Calibri" w:cs="Calibri" w:eastAsia="Calibri" w:hAnsi="Calibri"/>
          <w:b/>
          <w:bCs/>
          <w:color w:val="3F7D74"/>
          <w:sz w:val="22"/>
          <w:szCs w:val="22"/>
        </w:rPr>
        <w:t xml:space="preserve">Wanneer je wél opzoekt</w:t>
      </w:r>
    </w:p>
    <w:p>
      <w:pPr>
        <w:pStyle w:val="ListParagraph"/>
        <w:numPr>
          <w:ilvl w:val="0"/>
          <w:numId w:val="3"/>
        </w:numPr>
        <w:spacing w:after="70" w:line="280"/>
      </w:pPr>
      <w:r>
        <w:rPr>
          <w:rFonts w:ascii="Calibri" w:cs="Calibri" w:eastAsia="Calibri" w:hAnsi="Calibri"/>
          <w:color w:val="0E1A1C"/>
          <w:sz w:val="21"/>
          <w:szCs w:val="21"/>
        </w:rPr>
        <w:t xml:space="preserve">Bij een vraag over een specifieke opsomming of volgorde die je bijna weet.</w:t>
      </w:r>
    </w:p>
    <w:p>
      <w:pPr>
        <w:pStyle w:val="ListParagraph"/>
        <w:numPr>
          <w:ilvl w:val="0"/>
          <w:numId w:val="3"/>
        </w:numPr>
        <w:spacing w:after="70" w:line="280"/>
      </w:pPr>
      <w:r>
        <w:rPr>
          <w:rFonts w:ascii="Calibri" w:cs="Calibri" w:eastAsia="Calibri" w:hAnsi="Calibri"/>
          <w:color w:val="0E1A1C"/>
          <w:sz w:val="21"/>
          <w:szCs w:val="21"/>
        </w:rPr>
        <w:t xml:space="preserve">Bij een definitievraag waar twee antwoorden allebei redelijk klinken.</w:t>
      </w:r>
    </w:p>
    <w:p>
      <w:pPr>
        <w:pStyle w:val="ListParagraph"/>
        <w:numPr>
          <w:ilvl w:val="0"/>
          <w:numId w:val="3"/>
        </w:numPr>
        <w:spacing w:after="70" w:line="280"/>
      </w:pPr>
      <w:r>
        <w:rPr>
          <w:rFonts w:ascii="Calibri" w:cs="Calibri" w:eastAsia="Calibri" w:hAnsi="Calibri"/>
          <w:color w:val="0E1A1C"/>
          <w:sz w:val="21"/>
          <w:szCs w:val="21"/>
        </w:rPr>
        <w:t xml:space="preserve">Nooit bij een scenariovraag — daar staat het antwoord niet letterlijk in het boek.</w:t>
      </w:r>
    </w:p>
    <w:p>
      <w:pPr>
        <w:pStyle w:val="Heading1"/>
        <w:spacing w:after="200" w:before="420"/>
      </w:pPr>
      <w:r>
        <w:rPr>
          <w:rFonts w:ascii="Cambria" w:cs="Cambria" w:eastAsia="Cambria" w:hAnsi="Cambria"/>
          <w:b/>
          <w:bCs/>
          <w:color w:val="1B4A48"/>
          <w:sz w:val="34"/>
          <w:szCs w:val="34"/>
        </w:rPr>
        <w:t xml:space="preserve">5. De één-boek-regel</w:t>
      </w:r>
    </w:p>
    <w:p>
      <w:pPr>
        <w:spacing w:after="140" w:line="288"/>
      </w:pPr>
      <w:r>
        <w:rPr>
          <w:rFonts w:ascii="Calibri" w:cs="Calibri" w:eastAsia="Calibri" w:hAnsi="Calibri"/>
          <w:color w:val="0E1A1C"/>
          <w:sz w:val="21"/>
          <w:szCs w:val="21"/>
        </w:rPr>
        <w:t xml:space="preserve">Eén hulpmiddel: de DMBOK2 Revised Edition, in papier of digitaal, niet beide. Die keuze maak je vooraf en hij heeft gevolgen.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600"/>
        <w:gridCol w:w="37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Papier</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Digitaal</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Voordeel</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Snel bladeren, tabbladen, ruimtelijk geheugen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Zoeken op woord, geen fysiek gedoe</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Nadeel</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Zwaar, en je moet weten waar je moet zijn</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Zoekresultaten leiden af; scrollen kost tijd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Voorbereiding</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Tabbladen per hoofdstuk aanbrengen en oefenen met opzoeken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Oefenen met zoektermen die je daadwerkelijk gaat gebruiken</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Controleer wat je met je boek mag doen</w:t>
            </w:r>
          </w:p>
          <w:p>
            <w:pPr>
              <w:spacing w:after="60" w:line="280"/>
            </w:pPr>
            <w:r>
              <w:rPr>
                <w:rFonts w:ascii="Calibri" w:cs="Calibri" w:eastAsia="Calibri" w:hAnsi="Calibri"/>
                <w:color w:val="0E1A1C"/>
                <w:sz w:val="20"/>
                <w:szCs w:val="20"/>
              </w:rPr>
              <w:t xml:space="preserve">Of onderstrepingen, aantekeningen of tabbladen zijn toegestaan, verschilt per examenvorm en kan wijzigen. Zoek dit uit bij DAMA vóórdat je je boek prepareert — het zou zonde zijn om er uren in te steken en het op de examendag niet te mogen gebruiken.</w:t>
            </w:r>
          </w:p>
        </w:tc>
      </w:tr>
    </w:tbl>
    <w:p>
      <w:pPr>
        <w:spacing w:after="140" w:line="288"/>
      </w:pPr>
      <w:r>
        <w:rPr>
          <w:rFonts w:ascii="Calibri" w:cs="Calibri" w:eastAsia="Calibri" w:hAnsi="Calibri"/>
          <w:color w:val="0E1A1C"/>
          <w:sz w:val="21"/>
          <w:szCs w:val="21"/>
        </w:rPr>
        <w:t xml:space="preserve">Wat er ook is toegestaan: oefen het opzoeken. Laat iemand je een willekeurig begrip noemen en klok hoe lang je erover doet om de juiste pagina te vinden. Onder de dertig seconden is bruikbaar; boven de anderhalve minuut is het boek een last in plaats van een hulpmiddel.</w:t>
      </w:r>
    </w:p>
    <w:p>
      <w:r>
        <w:br w:type="page"/>
      </w:r>
    </w:p>
    <w:p>
      <w:pPr>
        <w:pStyle w:val="Heading1"/>
        <w:spacing w:after="200" w:before="420"/>
      </w:pPr>
      <w:r>
        <w:rPr>
          <w:rFonts w:ascii="Cambria" w:cs="Cambria" w:eastAsia="Cambria" w:hAnsi="Cambria"/>
          <w:b/>
          <w:bCs/>
          <w:color w:val="1B4A48"/>
          <w:sz w:val="34"/>
          <w:szCs w:val="34"/>
        </w:rPr>
        <w:t xml:space="preserve">6. Vier vraagtypen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300"/>
        <w:gridCol w:w="40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Type</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Herken je aan</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Aanpak</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Definitievraag</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Vraagt wat een begrip betekent</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Weet je het, dan direct antwoorden. Twijfel je tussen twee, dan is dit het type om op te zoeken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Scenariovraag</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Schetst een situatie en vraagt wat te doen of wat er speelt</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Bepaal eerst welk kennisgebied het is; dat sluit meestal twee opties uit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Best of meest</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Bevat "best", "most likely", "primary"</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Meerdere antwoorden zijn juist; zoek het antwoord dat het meest direct op de vraag ingaat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Negatieve vraag</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Bevat NOT, EXCEPT, LEAST</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Lees hem twee keer. Draai hem om: welke drie zijn wél waar?</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Afleiders herkennen</w:t>
      </w:r>
    </w:p>
    <w:p>
      <w:pPr>
        <w:pStyle w:val="ListParagraph"/>
        <w:numPr>
          <w:ilvl w:val="0"/>
          <w:numId w:val="3"/>
        </w:numPr>
        <w:spacing w:after="70" w:line="280"/>
      </w:pPr>
      <w:r>
        <w:rPr>
          <w:rFonts w:ascii="Calibri" w:cs="Calibri" w:eastAsia="Calibri" w:hAnsi="Calibri"/>
          <w:color w:val="0E1A1C"/>
          <w:sz w:val="21"/>
          <w:szCs w:val="21"/>
        </w:rPr>
        <w:t xml:space="preserve">Het absolute antwoord: opties met "altijd", "nooit" of "alle" zijn vaker fout dan goed, omdat het vakgebied weinig absolute regels kent.</w:t>
      </w:r>
    </w:p>
    <w:p>
      <w:pPr>
        <w:pStyle w:val="ListParagraph"/>
        <w:numPr>
          <w:ilvl w:val="0"/>
          <w:numId w:val="3"/>
        </w:numPr>
        <w:spacing w:after="70" w:line="280"/>
      </w:pPr>
      <w:r>
        <w:rPr>
          <w:rFonts w:ascii="Calibri" w:cs="Calibri" w:eastAsia="Calibri" w:hAnsi="Calibri"/>
          <w:color w:val="0E1A1C"/>
          <w:sz w:val="21"/>
          <w:szCs w:val="21"/>
        </w:rPr>
        <w:t xml:space="preserve">Het te specifieke antwoord: een optie die één techniek of tool noemt bij een vraag over een principe.</w:t>
      </w:r>
    </w:p>
    <w:p>
      <w:pPr>
        <w:pStyle w:val="ListParagraph"/>
        <w:numPr>
          <w:ilvl w:val="0"/>
          <w:numId w:val="3"/>
        </w:numPr>
        <w:spacing w:after="70" w:line="280"/>
      </w:pPr>
      <w:r>
        <w:rPr>
          <w:rFonts w:ascii="Calibri" w:cs="Calibri" w:eastAsia="Calibri" w:hAnsi="Calibri"/>
          <w:color w:val="0E1A1C"/>
          <w:sz w:val="21"/>
          <w:szCs w:val="21"/>
        </w:rPr>
        <w:t xml:space="preserve">Het juiste antwoord op een andere vraag: inhoudelijk correct, maar niet wat er gevraagd wordt. Dit is de meest voorkomende afleider bij "best"-vragen.</w:t>
      </w:r>
    </w:p>
    <w:p>
      <w:pPr>
        <w:pStyle w:val="ListParagraph"/>
        <w:numPr>
          <w:ilvl w:val="0"/>
          <w:numId w:val="3"/>
        </w:numPr>
        <w:spacing w:after="70" w:line="280"/>
      </w:pPr>
      <w:r>
        <w:rPr>
          <w:rFonts w:ascii="Calibri" w:cs="Calibri" w:eastAsia="Calibri" w:hAnsi="Calibri"/>
          <w:color w:val="0E1A1C"/>
          <w:sz w:val="21"/>
          <w:szCs w:val="21"/>
        </w:rPr>
        <w:t xml:space="preserve">Het aantrekkelijke antwoord: wat in jouw praktijk gebruikelijk is, hoeft niet te zijn wat het DMBOK voorschrijft. Bij een verschil wint het boek.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belangrijkste gewoonte</w:t>
            </w:r>
          </w:p>
          <w:p>
            <w:pPr>
              <w:spacing w:after="60" w:line="280"/>
            </w:pPr>
            <w:r>
              <w:rPr>
                <w:rFonts w:ascii="Calibri" w:cs="Calibri" w:eastAsia="Calibri" w:hAnsi="Calibri"/>
                <w:color w:val="0E1A1C"/>
                <w:sz w:val="20"/>
                <w:szCs w:val="20"/>
              </w:rPr>
              <w:t xml:space="preserve">Formuleer je eigen antwoord vóórdat je de opties leest. Wie eerst de opties leest, wordt gestuurd door de afleiders. Dat kost twee seconden per vraag en levert er meer op.</w:t>
            </w:r>
          </w:p>
        </w:tc>
      </w:tr>
    </w:tbl>
    <w:p>
      <w:pPr>
        <w:pStyle w:val="Heading1"/>
        <w:spacing w:after="200" w:before="420"/>
      </w:pPr>
      <w:r>
        <w:rPr>
          <w:rFonts w:ascii="Cambria" w:cs="Cambria" w:eastAsia="Cambria" w:hAnsi="Cambria"/>
          <w:b/>
          <w:bCs/>
          <w:color w:val="1B4A48"/>
          <w:sz w:val="34"/>
          <w:szCs w:val="34"/>
        </w:rPr>
        <w:t xml:space="preserve">7. Engels versus praktijktaal</w:t>
      </w:r>
    </w:p>
    <w:p>
      <w:pPr>
        <w:spacing w:after="140" w:line="288"/>
      </w:pPr>
      <w:r>
        <w:rPr>
          <w:rFonts w:ascii="Calibri" w:cs="Calibri" w:eastAsia="Calibri" w:hAnsi="Calibri"/>
          <w:color w:val="0E1A1C"/>
          <w:sz w:val="21"/>
          <w:szCs w:val="21"/>
        </w:rPr>
        <w:t xml:space="preserve">Het examen is Engelstalig, jouw praktijk Nederlands. Op een aantal punten wijkt de examenterminologie af van hoe je het op kantoor zegt.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3200"/>
        <w:gridCol w:w="37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Examenterm</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Betekent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Verwarring in de praktijk</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steward</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Beheerder van betekenis en kwaliteit</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Nederland vaak gebruikt voor iedereen die met data werkt</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custodian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Technische bewaarder</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vertaald als "beheerder", net als steward</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System of record</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Aangewezen gezaghebbende bron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verward met het bronsysteem</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Accuracy</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Overeenstemming met de werkelijkheid</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vertaald als "nauwkeurigheid", wat naar precisie neigt</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Validity</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Voldoen aan vormregels</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door elkaar gebruikt met accuracy</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Reference data</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Codelijsten en classificaties</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Wordt in Nederland vaak "stamdata" genoemd, net als master data</w:t>
            </w:r>
          </w:p>
        </w:tc>
      </w:tr>
    </w:tbl>
    <w:p>
      <w:pPr>
        <w:pStyle w:val="Heading1"/>
        <w:spacing w:after="200" w:before="420"/>
      </w:pPr>
      <w:r>
        <w:rPr>
          <w:rFonts w:ascii="Cambria" w:cs="Cambria" w:eastAsia="Cambria" w:hAnsi="Cambria"/>
          <w:b/>
          <w:bCs/>
          <w:color w:val="1B4A48"/>
          <w:sz w:val="34"/>
          <w:szCs w:val="34"/>
        </w:rPr>
        <w:t xml:space="preserve">8. De tien verwarparen</w:t>
      </w:r>
    </w:p>
    <w:p>
      <w:pPr>
        <w:spacing w:after="140" w:line="288"/>
      </w:pPr>
      <w:r>
        <w:rPr>
          <w:rFonts w:ascii="Calibri" w:cs="Calibri" w:eastAsia="Calibri" w:hAnsi="Calibri"/>
          <w:color w:val="0E1A1C"/>
          <w:sz w:val="21"/>
          <w:szCs w:val="21"/>
        </w:rPr>
        <w:t xml:space="preserve">Hier gaan de meeste punten verloren. Zet ze vast tot je ze zonder nadenken uit elkaar houdt.</w:t>
      </w:r>
    </w:p>
    <w:p>
      <w:pPr>
        <w:pStyle w:val="ListParagraph"/>
        <w:numPr>
          <w:ilvl w:val="0"/>
          <w:numId w:val="5"/>
        </w:numPr>
        <w:spacing w:after="70" w:line="280"/>
      </w:pPr>
      <w:r>
        <w:rPr>
          <w:rFonts w:ascii="Calibri" w:cs="Calibri" w:eastAsia="Calibri" w:hAnsi="Calibri"/>
          <w:color w:val="0E1A1C"/>
          <w:sz w:val="21"/>
          <w:szCs w:val="21"/>
        </w:rPr>
        <w:t xml:space="preserve">Master data versus reference data.</w:t>
      </w:r>
    </w:p>
    <w:p>
      <w:pPr>
        <w:pStyle w:val="ListParagraph"/>
        <w:numPr>
          <w:ilvl w:val="0"/>
          <w:numId w:val="5"/>
        </w:numPr>
        <w:spacing w:after="70" w:line="280"/>
      </w:pPr>
      <w:r>
        <w:rPr>
          <w:rFonts w:ascii="Calibri" w:cs="Calibri" w:eastAsia="Calibri" w:hAnsi="Calibri"/>
          <w:color w:val="0E1A1C"/>
          <w:sz w:val="21"/>
          <w:szCs w:val="21"/>
        </w:rPr>
        <w:t xml:space="preserve">Validity versus accuracy.</w:t>
      </w:r>
    </w:p>
    <w:p>
      <w:pPr>
        <w:pStyle w:val="ListParagraph"/>
        <w:numPr>
          <w:ilvl w:val="0"/>
          <w:numId w:val="5"/>
        </w:numPr>
        <w:spacing w:after="70" w:line="280"/>
      </w:pPr>
      <w:r>
        <w:rPr>
          <w:rFonts w:ascii="Calibri" w:cs="Calibri" w:eastAsia="Calibri" w:hAnsi="Calibri"/>
          <w:color w:val="0E1A1C"/>
          <w:sz w:val="21"/>
          <w:szCs w:val="21"/>
        </w:rPr>
        <w:t xml:space="preserve">Data owner versus data custodian.</w:t>
      </w:r>
    </w:p>
    <w:p>
      <w:pPr>
        <w:pStyle w:val="ListParagraph"/>
        <w:numPr>
          <w:ilvl w:val="0"/>
          <w:numId w:val="5"/>
        </w:numPr>
        <w:spacing w:after="70" w:line="280"/>
      </w:pPr>
      <w:r>
        <w:rPr>
          <w:rFonts w:ascii="Calibri" w:cs="Calibri" w:eastAsia="Calibri" w:hAnsi="Calibri"/>
          <w:color w:val="0E1A1C"/>
          <w:sz w:val="21"/>
          <w:szCs w:val="21"/>
        </w:rPr>
        <w:t xml:space="preserve">Governance versus stewardship.</w:t>
      </w:r>
    </w:p>
    <w:p>
      <w:pPr>
        <w:pStyle w:val="ListParagraph"/>
        <w:numPr>
          <w:ilvl w:val="0"/>
          <w:numId w:val="5"/>
        </w:numPr>
        <w:spacing w:after="70" w:line="280"/>
      </w:pPr>
      <w:r>
        <w:rPr>
          <w:rFonts w:ascii="Calibri" w:cs="Calibri" w:eastAsia="Calibri" w:hAnsi="Calibri"/>
          <w:color w:val="0E1A1C"/>
          <w:sz w:val="21"/>
          <w:szCs w:val="21"/>
        </w:rPr>
        <w:t xml:space="preserve">Pseudonimiseren versus anonimiseren.</w:t>
      </w:r>
    </w:p>
    <w:p>
      <w:pPr>
        <w:pStyle w:val="ListParagraph"/>
        <w:numPr>
          <w:ilvl w:val="0"/>
          <w:numId w:val="5"/>
        </w:numPr>
        <w:spacing w:after="70" w:line="280"/>
      </w:pPr>
      <w:r>
        <w:rPr>
          <w:rFonts w:ascii="Calibri" w:cs="Calibri" w:eastAsia="Calibri" w:hAnsi="Calibri"/>
          <w:color w:val="0E1A1C"/>
          <w:sz w:val="21"/>
          <w:szCs w:val="21"/>
        </w:rPr>
        <w:t xml:space="preserve">Integratie versus interoperabiliteit.</w:t>
      </w:r>
    </w:p>
    <w:p>
      <w:pPr>
        <w:pStyle w:val="ListParagraph"/>
        <w:numPr>
          <w:ilvl w:val="0"/>
          <w:numId w:val="5"/>
        </w:numPr>
        <w:spacing w:after="70" w:line="280"/>
      </w:pPr>
      <w:r>
        <w:rPr>
          <w:rFonts w:ascii="Calibri" w:cs="Calibri" w:eastAsia="Calibri" w:hAnsi="Calibri"/>
          <w:color w:val="0E1A1C"/>
          <w:sz w:val="21"/>
          <w:szCs w:val="21"/>
        </w:rPr>
        <w:t xml:space="preserve">Conceptueel versus logisch model.</w:t>
      </w:r>
    </w:p>
    <w:p>
      <w:pPr>
        <w:pStyle w:val="ListParagraph"/>
        <w:numPr>
          <w:ilvl w:val="0"/>
          <w:numId w:val="5"/>
        </w:numPr>
        <w:spacing w:after="70" w:line="280"/>
      </w:pPr>
      <w:r>
        <w:rPr>
          <w:rFonts w:ascii="Calibri" w:cs="Calibri" w:eastAsia="Calibri" w:hAnsi="Calibri"/>
          <w:color w:val="0E1A1C"/>
          <w:sz w:val="21"/>
          <w:szCs w:val="21"/>
        </w:rPr>
        <w:t xml:space="preserve">OLTP versus OLAP.</w:t>
      </w:r>
    </w:p>
    <w:p>
      <w:pPr>
        <w:pStyle w:val="ListParagraph"/>
        <w:numPr>
          <w:ilvl w:val="0"/>
          <w:numId w:val="5"/>
        </w:numPr>
        <w:spacing w:after="70" w:line="280"/>
      </w:pPr>
      <w:r>
        <w:rPr>
          <w:rFonts w:ascii="Calibri" w:cs="Calibri" w:eastAsia="Calibri" w:hAnsi="Calibri"/>
          <w:color w:val="0E1A1C"/>
          <w:sz w:val="21"/>
          <w:szCs w:val="21"/>
        </w:rPr>
        <w:t xml:space="preserve">Metric versus KPI.</w:t>
      </w:r>
    </w:p>
    <w:p>
      <w:pPr>
        <w:pStyle w:val="ListParagraph"/>
        <w:numPr>
          <w:ilvl w:val="0"/>
          <w:numId w:val="5"/>
        </w:numPr>
        <w:spacing w:after="70" w:line="280"/>
      </w:pPr>
      <w:r>
        <w:rPr>
          <w:rFonts w:ascii="Calibri" w:cs="Calibri" w:eastAsia="Calibri" w:hAnsi="Calibri"/>
          <w:color w:val="0E1A1C"/>
          <w:sz w:val="21"/>
          <w:szCs w:val="21"/>
        </w:rPr>
        <w:t xml:space="preserve">Beleid versus standaard versus richtlijn.</w:t>
      </w:r>
    </w:p>
    <w:p>
      <w:pPr>
        <w:spacing w:after="140" w:line="288"/>
      </w:pPr>
      <w:r>
        <w:rPr>
          <w:rFonts w:ascii="Calibri" w:cs="Calibri" w:eastAsia="Calibri" w:hAnsi="Calibri"/>
          <w:color w:val="0E1A1C"/>
          <w:sz w:val="21"/>
          <w:szCs w:val="21"/>
        </w:rPr>
        <w:t xml:space="preserve">Toets jezelf niet door ze te herkennen maar door ze te produceren: schrijf van elk paar beide definities op zonder boek, en laat een medecursist beoordelen of het onderscheid scherp is.</w:t>
      </w:r>
    </w:p>
    <w:p>
      <w:r>
        <w:br w:type="page"/>
      </w:r>
    </w:p>
    <w:p>
      <w:pPr>
        <w:pStyle w:val="Heading1"/>
        <w:spacing w:after="200" w:before="420"/>
      </w:pPr>
      <w:r>
        <w:rPr>
          <w:rFonts w:ascii="Cambria" w:cs="Cambria" w:eastAsia="Cambria" w:hAnsi="Cambria"/>
          <w:b/>
          <w:bCs/>
          <w:color w:val="1B4A48"/>
          <w:sz w:val="34"/>
          <w:szCs w:val="34"/>
        </w:rPr>
        <w:t xml:space="preserve">9. De laatste week</w:t>
      </w:r>
    </w:p>
    <w:p>
      <w:pPr>
        <w:pStyle w:val="Heading3"/>
        <w:spacing w:after="100" w:before="240"/>
      </w:pPr>
      <w:r>
        <w:rPr>
          <w:rFonts w:ascii="Calibri" w:cs="Calibri" w:eastAsia="Calibri" w:hAnsi="Calibri"/>
          <w:b/>
          <w:bCs/>
          <w:color w:val="3F7D74"/>
          <w:sz w:val="22"/>
          <w:szCs w:val="22"/>
        </w:rPr>
        <w:t xml:space="preserve">Wat je doet</w:t>
      </w:r>
    </w:p>
    <w:p>
      <w:pPr>
        <w:pStyle w:val="ListParagraph"/>
        <w:numPr>
          <w:ilvl w:val="0"/>
          <w:numId w:val="3"/>
        </w:numPr>
        <w:spacing w:after="70" w:line="280"/>
      </w:pPr>
      <w:r>
        <w:rPr>
          <w:rFonts w:ascii="Calibri" w:cs="Calibri" w:eastAsia="Calibri" w:hAnsi="Calibri"/>
          <w:color w:val="0E1A1C"/>
          <w:sz w:val="21"/>
          <w:szCs w:val="21"/>
        </w:rPr>
        <w:t xml:space="preserve">Twee volledige proefexamens onder tijdsdruk, met een dag ertussen.</w:t>
      </w:r>
    </w:p>
    <w:p>
      <w:pPr>
        <w:pStyle w:val="ListParagraph"/>
        <w:numPr>
          <w:ilvl w:val="0"/>
          <w:numId w:val="3"/>
        </w:numPr>
        <w:spacing w:after="70" w:line="280"/>
      </w:pPr>
      <w:r>
        <w:rPr>
          <w:rFonts w:ascii="Calibri" w:cs="Calibri" w:eastAsia="Calibri" w:hAnsi="Calibri"/>
          <w:color w:val="0E1A1C"/>
          <w:sz w:val="21"/>
          <w:szCs w:val="21"/>
        </w:rPr>
        <w:t xml:space="preserve">De verwarparen dagelijks kort doornemen.</w:t>
      </w:r>
    </w:p>
    <w:p>
      <w:pPr>
        <w:pStyle w:val="ListParagraph"/>
        <w:numPr>
          <w:ilvl w:val="0"/>
          <w:numId w:val="3"/>
        </w:numPr>
        <w:spacing w:after="70" w:line="280"/>
      </w:pPr>
      <w:r>
        <w:rPr>
          <w:rFonts w:ascii="Calibri" w:cs="Calibri" w:eastAsia="Calibri" w:hAnsi="Calibri"/>
          <w:color w:val="0E1A1C"/>
          <w:sz w:val="21"/>
          <w:szCs w:val="21"/>
        </w:rPr>
        <w:t xml:space="preserve">Het opzoeken in je boek oefenen tot je onder de dertig seconden zit.</w:t>
      </w:r>
    </w:p>
    <w:p>
      <w:pPr>
        <w:pStyle w:val="ListParagraph"/>
        <w:numPr>
          <w:ilvl w:val="0"/>
          <w:numId w:val="3"/>
        </w:numPr>
        <w:spacing w:after="70" w:line="280"/>
      </w:pPr>
      <w:r>
        <w:rPr>
          <w:rFonts w:ascii="Calibri" w:cs="Calibri" w:eastAsia="Calibri" w:hAnsi="Calibri"/>
          <w:color w:val="0E1A1C"/>
          <w:sz w:val="21"/>
          <w:szCs w:val="21"/>
        </w:rPr>
        <w:t xml:space="preserve">De logistiek regelen: proctoring testen, identiteitsbewijs klaarleggen, ruimte reserveren.</w:t>
      </w:r>
    </w:p>
    <w:p>
      <w:pPr>
        <w:pStyle w:val="Heading3"/>
        <w:spacing w:after="100" w:before="240"/>
      </w:pPr>
      <w:r>
        <w:rPr>
          <w:rFonts w:ascii="Calibri" w:cs="Calibri" w:eastAsia="Calibri" w:hAnsi="Calibri"/>
          <w:b/>
          <w:bCs/>
          <w:color w:val="3F7D74"/>
          <w:sz w:val="22"/>
          <w:szCs w:val="22"/>
        </w:rPr>
        <w:t xml:space="preserve">Wat je niet doet</w:t>
      </w:r>
    </w:p>
    <w:p>
      <w:pPr>
        <w:pStyle w:val="ListParagraph"/>
        <w:numPr>
          <w:ilvl w:val="0"/>
          <w:numId w:val="3"/>
        </w:numPr>
        <w:spacing w:after="70" w:line="280"/>
      </w:pPr>
      <w:r>
        <w:rPr>
          <w:rFonts w:ascii="Calibri" w:cs="Calibri" w:eastAsia="Calibri" w:hAnsi="Calibri"/>
          <w:color w:val="0E1A1C"/>
          <w:sz w:val="21"/>
          <w:szCs w:val="21"/>
        </w:rPr>
        <w:t xml:space="preserve">Nieuwe stof beginnen. Wat je in de laatste week leert, verdringt wat je al wist.</w:t>
      </w:r>
    </w:p>
    <w:p>
      <w:pPr>
        <w:pStyle w:val="ListParagraph"/>
        <w:numPr>
          <w:ilvl w:val="0"/>
          <w:numId w:val="3"/>
        </w:numPr>
        <w:spacing w:after="70" w:line="280"/>
      </w:pPr>
      <w:r>
        <w:rPr>
          <w:rFonts w:ascii="Calibri" w:cs="Calibri" w:eastAsia="Calibri" w:hAnsi="Calibri"/>
          <w:color w:val="0E1A1C"/>
          <w:sz w:val="21"/>
          <w:szCs w:val="21"/>
        </w:rPr>
        <w:t xml:space="preserve">De dag ervoor nog een proefexamen doen. Een tegenvallende score de avond ervoor kost je meer dan hij oplevert.</w:t>
      </w:r>
    </w:p>
    <w:p>
      <w:pPr>
        <w:pStyle w:val="ListParagraph"/>
        <w:numPr>
          <w:ilvl w:val="0"/>
          <w:numId w:val="3"/>
        </w:numPr>
        <w:spacing w:after="70" w:line="280"/>
      </w:pPr>
      <w:r>
        <w:rPr>
          <w:rFonts w:ascii="Calibri" w:cs="Calibri" w:eastAsia="Calibri" w:hAnsi="Calibri"/>
          <w:color w:val="0E1A1C"/>
          <w:sz w:val="21"/>
          <w:szCs w:val="21"/>
        </w:rPr>
        <w:t xml:space="preserve">Je boek op de examendag nog herinrichten.</w:t>
      </w:r>
    </w:p>
    <w:p>
      <w:pPr>
        <w:pStyle w:val="Heading1"/>
        <w:spacing w:after="200" w:before="420"/>
      </w:pPr>
      <w:r>
        <w:rPr>
          <w:rFonts w:ascii="Cambria" w:cs="Cambria" w:eastAsia="Cambria" w:hAnsi="Cambria"/>
          <w:b/>
          <w:bCs/>
          <w:color w:val="1B4A48"/>
          <w:sz w:val="34"/>
          <w:szCs w:val="34"/>
        </w:rPr>
        <w:t xml:space="preserve">10. Na afloop</w:t>
      </w:r>
    </w:p>
    <w:p>
      <w:pPr>
        <w:pStyle w:val="ListParagraph"/>
        <w:numPr>
          <w:ilvl w:val="0"/>
          <w:numId w:val="3"/>
        </w:numPr>
        <w:spacing w:after="70" w:line="280"/>
      </w:pPr>
      <w:r>
        <w:rPr>
          <w:rFonts w:ascii="Calibri" w:cs="Calibri" w:eastAsia="Calibri" w:hAnsi="Calibri"/>
          <w:color w:val="0E1A1C"/>
          <w:sz w:val="21"/>
          <w:szCs w:val="21"/>
        </w:rPr>
        <w:t xml:space="preserve">Je krijgt een scorerapport met een verdeling over de kennisgebieden. Bewaar het: het is de beste basis voor je studieplan richting niveau 2.</w:t>
      </w:r>
    </w:p>
    <w:p>
      <w:pPr>
        <w:pStyle w:val="ListParagraph"/>
        <w:numPr>
          <w:ilvl w:val="0"/>
          <w:numId w:val="3"/>
        </w:numPr>
        <w:spacing w:after="70" w:line="280"/>
      </w:pPr>
      <w:r>
        <w:rPr>
          <w:rFonts w:ascii="Calibri" w:cs="Calibri" w:eastAsia="Calibri" w:hAnsi="Calibri"/>
          <w:color w:val="0E1A1C"/>
          <w:sz w:val="21"/>
          <w:szCs w:val="21"/>
        </w:rPr>
        <w:t xml:space="preserve">Haal je 60 tot 69 procent, dan ben je Associate. Haal je 70 procent of meer, dan opent dat de route naar Practitioner — daarvoor zijn twee specialistexamens en ervaring nodig, en dat is niveau 2.</w:t>
      </w:r>
    </w:p>
    <w:p>
      <w:pPr>
        <w:pStyle w:val="ListParagraph"/>
        <w:numPr>
          <w:ilvl w:val="0"/>
          <w:numId w:val="3"/>
        </w:numPr>
        <w:spacing w:after="70" w:line="280"/>
      </w:pPr>
      <w:r>
        <w:rPr>
          <w:rFonts w:ascii="Calibri" w:cs="Calibri" w:eastAsia="Calibri" w:hAnsi="Calibri"/>
          <w:color w:val="0E1A1C"/>
          <w:sz w:val="21"/>
          <w:szCs w:val="21"/>
        </w:rPr>
        <w:t xml:space="preserve">Haal je het niet, dan is herkansen mogelijk. Gebruik het scorerapport om gericht te herstellen in plaats van alles opnieuw te doen.</w:t>
      </w:r>
    </w:p>
    <w:p>
      <w:pPr>
        <w:pStyle w:val="ListParagraph"/>
        <w:numPr>
          <w:ilvl w:val="0"/>
          <w:numId w:val="3"/>
        </w:numPr>
        <w:spacing w:after="70" w:line="280"/>
      </w:pPr>
      <w:r>
        <w:rPr>
          <w:rFonts w:ascii="Calibri" w:cs="Calibri" w:eastAsia="Calibri" w:hAnsi="Calibri"/>
          <w:color w:val="0E1A1C"/>
          <w:sz w:val="21"/>
          <w:szCs w:val="21"/>
        </w:rPr>
        <w:t xml:space="preserve">Elk geslaagd examen is drie jaar geldig. Zet meteen een herinnering voor de hercertificering.</w:t>
      </w:r>
    </w:p>
    <w:p>
      <w:pPr>
        <w:pStyle w:val="Heading1"/>
        <w:spacing w:after="200" w:before="420"/>
      </w:pPr>
      <w:r>
        <w:rPr>
          <w:rFonts w:ascii="Cambria" w:cs="Cambria" w:eastAsia="Cambria" w:hAnsi="Cambria"/>
          <w:b/>
          <w:bCs/>
          <w:color w:val="1B4A48"/>
          <w:sz w:val="34"/>
          <w:szCs w:val="34"/>
        </w:rPr>
        <w:t xml:space="preserve">11. Studiemateriaal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Bij dit deel</w:t>
            </w:r>
          </w:p>
          <w:p>
            <w:pPr>
              <w:spacing w:after="60" w:line="280"/>
            </w:pPr>
            <w:r>
              <w:rPr>
                <w:rFonts w:ascii="Calibri" w:cs="Calibri" w:eastAsia="Calibri" w:hAnsi="Calibri"/>
                <w:color w:val="0E1A1C"/>
                <w:sz w:val="20"/>
                <w:szCs w:val="20"/>
              </w:rPr>
              <w:t xml:space="preserve">Kernbron: de DAMA-DMBOK2 Revised Edition — het enige toegestane hulpmiddel tijdens het examen, in papier óf digitaal, niet beide.</w:t>
            </w:r>
          </w:p>
          <w:p>
            <w:pPr>
              <w:spacing w:after="60" w:line="280"/>
            </w:pPr>
            <w:r>
              <w:rPr>
                <w:rFonts w:ascii="Calibri" w:cs="Calibri" w:eastAsia="Calibri" w:hAnsi="Calibri"/>
                <w:color w:val="0E1A1C"/>
                <w:sz w:val="20"/>
                <w:szCs w:val="20"/>
              </w:rPr>
              <w:t xml:space="preserve">Officiële examenopzet, wegingen, kosten, proctoringregels en inschrijving: cdmp.info/exams en dama.org/certification.</w:t>
            </w:r>
          </w:p>
          <w:p>
            <w:pPr>
              <w:spacing w:after="60" w:line="280"/>
            </w:pPr>
            <w:r>
              <w:rPr>
                <w:rFonts w:ascii="Calibri" w:cs="Calibri" w:eastAsia="Calibri" w:hAnsi="Calibri"/>
                <w:color w:val="0E1A1C"/>
                <w:sz w:val="20"/>
                <w:szCs w:val="20"/>
              </w:rPr>
              <w:t xml:space="preserve">De proefexamens in dit deel zijn door Ductus opgesteld. Het zijn geen examenvragen en ze zijn niet ontleend aan officieel examenmateriaal; ze trainen het vraagtype en het tempo, niet de inhoud van het examen.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9 — Examentraining Fundamentals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Fundamentals — Deelnemersreader</dc:title>
  <dc:creator>Ductus B.V.</dc:creator>
  <dc:description>Cursusmateriaal datamanagement, data-analyse en data governance</dc:description>
  <cp:lastModifiedBy>Un-named</cp:lastModifiedBy>
  <cp:revision>1</cp:revision>
  <dcterms:created xsi:type="dcterms:W3CDTF">2026-08-05T10:35:01.984Z</dcterms:created>
  <dcterms:modified xsi:type="dcterms:W3CDTF">2026-08-05T10:35:01.984Z</dcterms:modified>
</cp:coreProperties>
</file>

<file path=docProps/custom.xml><?xml version="1.0" encoding="utf-8"?>
<Properties xmlns="http://schemas.openxmlformats.org/officeDocument/2006/custom-properties" xmlns:vt="http://schemas.openxmlformats.org/officeDocument/2006/docPropsVTypes"/>
</file>