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10</w:t>
      </w:r>
    </w:p>
    <w:p>
      <w:pPr>
        <w:spacing w:after="120"/>
      </w:pPr>
      <w:r>
        <w:rPr>
          <w:rFonts w:ascii="Cambria" w:cs="Cambria" w:eastAsia="Cambria" w:hAnsi="Cambria"/>
          <w:b/>
          <w:bCs/>
          <w:color w:val="0E1A1C"/>
          <w:sz w:val="56"/>
          <w:szCs w:val="56"/>
        </w:rPr>
        <w:t xml:space="preserve">Capstone — de nulmeting</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6,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6 uur (3 uur klassikaal, 3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opgeleverde capstone, je proefexamenscores en je studieplan</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Dit werkboek begeleidt je capstone in zes stappen. Stap 1 tot en met 4 doe je zelfstandig in de week vóór de klassikale sessie; reken op drie uur. Stap 5 en 6 zijn de sessie zelf: peer review en verdediging.</w:t>
      </w:r>
    </w:p>
    <w:p>
      <w:pPr>
        <w:spacing w:after="140" w:line="288"/>
      </w:pPr>
      <w:r>
        <w:rPr>
          <w:rFonts w:ascii="Calibri" w:cs="Calibri" w:eastAsia="Calibri" w:hAnsi="Calibri"/>
          <w:color w:val="0E1A1C"/>
          <w:sz w:val="21"/>
          <w:szCs w:val="21"/>
        </w:rPr>
        <w:t xml:space="preserve">Lever je vier deliverables uiterlijk twee dagen vóór de sessie in, zodat je medecursisten ze kunnen lezen. Wie later levert, krijgt geen peer review — en dat is precies het onderdeel waar de meeste verbetering vandaan komt.</w:t>
      </w:r>
    </w:p>
    <w:p>
      <w:pPr>
        <w:spacing w:after="140" w:line="288"/>
      </w:pPr>
      <w:r>
        <w:rPr>
          <w:rFonts w:ascii="Calibri" w:cs="Calibri" w:eastAsia="Calibri" w:hAnsi="Calibri"/>
          <w:color w:val="0E1A1C"/>
          <w:sz w:val="21"/>
          <w:szCs w:val="21"/>
        </w:rPr>
        <w:t xml:space="preserve">De rubric staat in hoofdstuk 8 van de handleiding. Lees hem vóór je begint, niet erna.</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Intake en afbakening</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Kwaliteitsanalyse</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Dashboard</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AVG-toets en verantwoording</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Peer review</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Verdediging</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Eindtoets</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30 minuten</w:t>
      </w:r>
    </w:p>
    <w:p>
      <w:pPr>
        <w:spacing w:after="140"/>
      </w:pPr>
      <w:r>
        <w:rPr>
          <w:rFonts w:ascii="Cambria" w:cs="Cambria" w:eastAsia="Cambria" w:hAnsi="Cambria"/>
          <w:b/>
          <w:bCs/>
          <w:color w:val="1B4A48"/>
          <w:sz w:val="30"/>
          <w:szCs w:val="30"/>
        </w:rPr>
        <w:t xml:space="preserve">Intake en afbakening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Bepalen wat je onderzoekt en — belangrijker — wat niet.</w:t>
      </w:r>
    </w:p>
    <w:p>
      <w:pPr>
        <w:pStyle w:val="ListParagraph"/>
        <w:numPr>
          <w:ilvl w:val="0"/>
          <w:numId w:val="2"/>
        </w:numPr>
        <w:spacing w:after="70" w:line="280"/>
      </w:pPr>
      <w:r>
        <w:rPr>
          <w:rFonts w:ascii="Calibri" w:cs="Calibri" w:eastAsia="Calibri" w:hAnsi="Calibri"/>
          <w:color w:val="0E1A1C"/>
          <w:sz w:val="21"/>
          <w:szCs w:val="21"/>
        </w:rPr>
        <w:t xml:space="preserve">Formuleer de vraag van de CFO in je eigen woorden, met het besluit waarvoor hij dient.</w:t>
      </w:r>
    </w:p>
    <w:p>
      <w:pPr>
        <w:pStyle w:val="ListParagraph"/>
        <w:numPr>
          <w:ilvl w:val="0"/>
          <w:numId w:val="2"/>
        </w:numPr>
        <w:spacing w:after="70" w:line="280"/>
      </w:pPr>
      <w:r>
        <w:rPr>
          <w:rFonts w:ascii="Calibri" w:cs="Calibri" w:eastAsia="Calibri" w:hAnsi="Calibri"/>
          <w:color w:val="0E1A1C"/>
          <w:sz w:val="21"/>
          <w:szCs w:val="21"/>
        </w:rPr>
        <w:t xml:space="preserve">Bepaal welke kritieke data-elementen je onderzoekt; maximaal acht.</w:t>
      </w:r>
    </w:p>
    <w:p>
      <w:pPr>
        <w:pStyle w:val="ListParagraph"/>
        <w:numPr>
          <w:ilvl w:val="0"/>
          <w:numId w:val="2"/>
        </w:numPr>
        <w:spacing w:after="70" w:line="280"/>
      </w:pPr>
      <w:r>
        <w:rPr>
          <w:rFonts w:ascii="Calibri" w:cs="Calibri" w:eastAsia="Calibri" w:hAnsi="Calibri"/>
          <w:color w:val="0E1A1C"/>
          <w:sz w:val="21"/>
          <w:szCs w:val="21"/>
        </w:rPr>
        <w:t xml:space="preserve">Verantwoord per element welke van de vier afbakeningsvragen uit deel 4 van toepassing is.</w:t>
      </w:r>
    </w:p>
    <w:p>
      <w:pPr>
        <w:pStyle w:val="ListParagraph"/>
        <w:numPr>
          <w:ilvl w:val="0"/>
          <w:numId w:val="2"/>
        </w:numPr>
        <w:spacing w:after="70" w:line="280"/>
      </w:pPr>
      <w:r>
        <w:rPr>
          <w:rFonts w:ascii="Calibri" w:cs="Calibri" w:eastAsia="Calibri" w:hAnsi="Calibri"/>
          <w:color w:val="0E1A1C"/>
          <w:sz w:val="21"/>
          <w:szCs w:val="21"/>
        </w:rPr>
        <w:t xml:space="preserve">Noteer minimaal vijf elementen die je bewust laat liggen, met de reden.</w:t>
      </w:r>
    </w:p>
    <w:p>
      <w:pPr>
        <w:pStyle w:val="ListParagraph"/>
        <w:numPr>
          <w:ilvl w:val="0"/>
          <w:numId w:val="2"/>
        </w:numPr>
        <w:spacing w:after="70" w:line="280"/>
      </w:pPr>
      <w:r>
        <w:rPr>
          <w:rFonts w:ascii="Calibri" w:cs="Calibri" w:eastAsia="Calibri" w:hAnsi="Calibri"/>
          <w:color w:val="0E1A1C"/>
          <w:sz w:val="21"/>
          <w:szCs w:val="21"/>
        </w:rPr>
        <w:t xml:space="preserve">Bepaal welke uitkomst het besluit van de CFO zou veranderen.</w:t>
      </w:r>
    </w:p>
    <w:p>
      <w:pPr>
        <w:pStyle w:val="ListParagraph"/>
        <w:numPr>
          <w:ilvl w:val="0"/>
          <w:numId w:val="2"/>
        </w:numPr>
        <w:spacing w:after="70" w:line="280"/>
      </w:pPr>
      <w:r>
        <w:rPr>
          <w:rFonts w:ascii="Calibri" w:cs="Calibri" w:eastAsia="Calibri" w:hAnsi="Calibri"/>
          <w:color w:val="0E1A1C"/>
          <w:sz w:val="21"/>
          <w:szCs w:val="21"/>
        </w:rPr>
        <w:t xml:space="preserve">Schrijf je voorlopige ene zin op — die mag later nog wijzigen.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Vraagformulering, maximaal acht elementen met criterium, vijf uitsluitingen en een voorlopige ene zin.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uitsluitingen zijn een beoordeeld onderdeel. Wie niets weglaat, heeft geen afbakening gemaakt maar een inventarisatie — en dat kost punten op alle drie de rubriekniveaus.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75 minuten</w:t>
      </w:r>
    </w:p>
    <w:p>
      <w:pPr>
        <w:spacing w:after="140"/>
      </w:pPr>
      <w:r>
        <w:rPr>
          <w:rFonts w:ascii="Cambria" w:cs="Cambria" w:eastAsia="Cambria" w:hAnsi="Cambria"/>
          <w:b/>
          <w:bCs/>
          <w:color w:val="1B4A48"/>
          <w:sz w:val="30"/>
          <w:szCs w:val="30"/>
        </w:rPr>
        <w:t xml:space="preserve">Kwaliteitsanalyse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dataset doorlichten en drie bevindingen opleveren die een opdrachtgever kan gebruiken.</w:t>
      </w:r>
    </w:p>
    <w:p>
      <w:pPr>
        <w:pStyle w:val="ListParagraph"/>
        <w:numPr>
          <w:ilvl w:val="0"/>
          <w:numId w:val="2"/>
        </w:numPr>
        <w:spacing w:after="70" w:line="280"/>
      </w:pPr>
      <w:r>
        <w:rPr>
          <w:rFonts w:ascii="Calibri" w:cs="Calibri" w:eastAsia="Calibri" w:hAnsi="Calibri"/>
          <w:color w:val="0E1A1C"/>
          <w:sz w:val="21"/>
          <w:szCs w:val="21"/>
        </w:rPr>
        <w:t xml:space="preserve">Profileer je gekozen elementen: vulgraad, frequentieverdeling, minimum en maximum, aantal unieke waarden.</w:t>
      </w:r>
    </w:p>
    <w:p>
      <w:pPr>
        <w:pStyle w:val="ListParagraph"/>
        <w:numPr>
          <w:ilvl w:val="0"/>
          <w:numId w:val="2"/>
        </w:numPr>
        <w:spacing w:after="70" w:line="280"/>
      </w:pPr>
      <w:r>
        <w:rPr>
          <w:rFonts w:ascii="Calibri" w:cs="Calibri" w:eastAsia="Calibri" w:hAnsi="Calibri"/>
          <w:color w:val="0E1A1C"/>
          <w:sz w:val="21"/>
          <w:szCs w:val="21"/>
        </w:rPr>
        <w:t xml:space="preserve">Begin bij de frequentieverdelingen. Markeer alle afwijkingen voordat je ze verklaart.</w:t>
      </w:r>
    </w:p>
    <w:p>
      <w:pPr>
        <w:pStyle w:val="ListParagraph"/>
        <w:numPr>
          <w:ilvl w:val="0"/>
          <w:numId w:val="2"/>
        </w:numPr>
        <w:spacing w:after="70" w:line="280"/>
      </w:pPr>
      <w:r>
        <w:rPr>
          <w:rFonts w:ascii="Calibri" w:cs="Calibri" w:eastAsia="Calibri" w:hAnsi="Calibri"/>
          <w:color w:val="0E1A1C"/>
          <w:sz w:val="21"/>
          <w:szCs w:val="21"/>
        </w:rPr>
        <w:t xml:space="preserve">Kies drie bevindingen op grond van impact op de DNB-bevinding, niet op grond van hoe opvallend ze zijn.</w:t>
      </w:r>
    </w:p>
    <w:p>
      <w:pPr>
        <w:pStyle w:val="ListParagraph"/>
        <w:numPr>
          <w:ilvl w:val="0"/>
          <w:numId w:val="2"/>
        </w:numPr>
        <w:spacing w:after="70" w:line="280"/>
      </w:pPr>
      <w:r>
        <w:rPr>
          <w:rFonts w:ascii="Calibri" w:cs="Calibri" w:eastAsia="Calibri" w:hAnsi="Calibri"/>
          <w:color w:val="0E1A1C"/>
          <w:sz w:val="21"/>
          <w:szCs w:val="21"/>
        </w:rPr>
        <w:t xml:space="preserve">Formuleer elke bevinding volledig: gegeven, dimensie, meting, gevolg, eigenaar.</w:t>
      </w:r>
    </w:p>
    <w:p>
      <w:pPr>
        <w:pStyle w:val="ListParagraph"/>
        <w:numPr>
          <w:ilvl w:val="0"/>
          <w:numId w:val="2"/>
        </w:numPr>
        <w:spacing w:after="70" w:line="280"/>
      </w:pPr>
      <w:r>
        <w:rPr>
          <w:rFonts w:ascii="Calibri" w:cs="Calibri" w:eastAsia="Calibri" w:hAnsi="Calibri"/>
          <w:color w:val="0E1A1C"/>
          <w:sz w:val="21"/>
          <w:szCs w:val="21"/>
        </w:rPr>
        <w:t xml:space="preserve">Geef per bevinding een oorzaakhypothese met de categorie erbij, en beschrijf hoe je die zou toetsen.</w:t>
      </w:r>
    </w:p>
    <w:p>
      <w:pPr>
        <w:pStyle w:val="ListParagraph"/>
        <w:numPr>
          <w:ilvl w:val="0"/>
          <w:numId w:val="2"/>
        </w:numPr>
        <w:spacing w:after="70" w:line="280"/>
      </w:pPr>
      <w:r>
        <w:rPr>
          <w:rFonts w:ascii="Calibri" w:cs="Calibri" w:eastAsia="Calibri" w:hAnsi="Calibri"/>
          <w:color w:val="0E1A1C"/>
          <w:sz w:val="21"/>
          <w:szCs w:val="21"/>
        </w:rPr>
        <w:t xml:space="preserve">Werk één bevinding uit tot een kwaliteitsregel met drempel, ernst en eigenaar — en onderbouw de drempel vanuit het gebruik.</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Profileringsuitkomsten, drie volledig geformuleerde bevindingen met hypothese, en één uitgewerkte regel.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piek in de frequentieverdeling is bijna altijd een dummywaarde, en de oorzaak zit dan in het ontwerp — niet bij de medewerker die hem invulde.</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60 minuten</w:t>
      </w:r>
    </w:p>
    <w:p>
      <w:pPr>
        <w:spacing w:after="140"/>
      </w:pPr>
      <w:r>
        <w:rPr>
          <w:rFonts w:ascii="Cambria" w:cs="Cambria" w:eastAsia="Cambria" w:hAnsi="Cambria"/>
          <w:b/>
          <w:bCs/>
          <w:color w:val="1B4A48"/>
          <w:sz w:val="30"/>
          <w:szCs w:val="30"/>
        </w:rPr>
        <w:t xml:space="preserve">Dashboard</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Eén scherm opleveren dat de vijfsecondentoets doorstaat en de vraag van de CFO raakt.</w:t>
      </w:r>
    </w:p>
    <w:p>
      <w:pPr>
        <w:pStyle w:val="ListParagraph"/>
        <w:numPr>
          <w:ilvl w:val="0"/>
          <w:numId w:val="2"/>
        </w:numPr>
        <w:spacing w:after="70" w:line="280"/>
      </w:pPr>
      <w:r>
        <w:rPr>
          <w:rFonts w:ascii="Calibri" w:cs="Calibri" w:eastAsia="Calibri" w:hAnsi="Calibri"/>
          <w:color w:val="0E1A1C"/>
          <w:sz w:val="21"/>
          <w:szCs w:val="21"/>
        </w:rPr>
        <w:t xml:space="preserve">Controleer eerst het semantische model: kloppen de relaties, en is de koppeltabel aanwezig?</w:t>
      </w:r>
    </w:p>
    <w:p>
      <w:pPr>
        <w:pStyle w:val="ListParagraph"/>
        <w:numPr>
          <w:ilvl w:val="0"/>
          <w:numId w:val="2"/>
        </w:numPr>
        <w:spacing w:after="70" w:line="280"/>
      </w:pPr>
      <w:r>
        <w:rPr>
          <w:rFonts w:ascii="Calibri" w:cs="Calibri" w:eastAsia="Calibri" w:hAnsi="Calibri"/>
          <w:color w:val="0E1A1C"/>
          <w:sz w:val="21"/>
          <w:szCs w:val="21"/>
        </w:rPr>
        <w:t xml:space="preserve">Herzie je ene zin nu je de bevindingen kent, en schrijf hem bovenaan.</w:t>
      </w:r>
    </w:p>
    <w:p>
      <w:pPr>
        <w:pStyle w:val="ListParagraph"/>
        <w:numPr>
          <w:ilvl w:val="0"/>
          <w:numId w:val="2"/>
        </w:numPr>
        <w:spacing w:after="70" w:line="280"/>
      </w:pPr>
      <w:r>
        <w:rPr>
          <w:rFonts w:ascii="Calibri" w:cs="Calibri" w:eastAsia="Calibri" w:hAnsi="Calibri"/>
          <w:color w:val="0E1A1C"/>
          <w:sz w:val="21"/>
          <w:szCs w:val="21"/>
        </w:rPr>
        <w:t xml:space="preserve">Kies drie KPI's die de betrouwbaarheid van de rapportageketen raken, elk met streefwaarde.</w:t>
      </w:r>
    </w:p>
    <w:p>
      <w:pPr>
        <w:pStyle w:val="ListParagraph"/>
        <w:numPr>
          <w:ilvl w:val="0"/>
          <w:numId w:val="2"/>
        </w:numPr>
        <w:spacing w:after="70" w:line="280"/>
      </w:pPr>
      <w:r>
        <w:rPr>
          <w:rFonts w:ascii="Calibri" w:cs="Calibri" w:eastAsia="Calibri" w:hAnsi="Calibri"/>
          <w:color w:val="0E1A1C"/>
          <w:sz w:val="21"/>
          <w:szCs w:val="21"/>
        </w:rPr>
        <w:t xml:space="preserve">Voeg per KPI een vergelijking en een trend toe.</w:t>
      </w:r>
    </w:p>
    <w:p>
      <w:pPr>
        <w:pStyle w:val="ListParagraph"/>
        <w:numPr>
          <w:ilvl w:val="0"/>
          <w:numId w:val="2"/>
        </w:numPr>
        <w:spacing w:after="70" w:line="280"/>
      </w:pPr>
      <w:r>
        <w:rPr>
          <w:rFonts w:ascii="Calibri" w:cs="Calibri" w:eastAsia="Calibri" w:hAnsi="Calibri"/>
          <w:color w:val="0E1A1C"/>
          <w:sz w:val="21"/>
          <w:szCs w:val="21"/>
        </w:rPr>
        <w:t xml:space="preserve">Voeg maximaal drie ondersteunende visuals toe, elk met een benoembare handeling.</w:t>
      </w:r>
    </w:p>
    <w:p>
      <w:pPr>
        <w:pStyle w:val="ListParagraph"/>
        <w:numPr>
          <w:ilvl w:val="0"/>
          <w:numId w:val="2"/>
        </w:numPr>
        <w:spacing w:after="70" w:line="280"/>
      </w:pPr>
      <w:r>
        <w:rPr>
          <w:rFonts w:ascii="Calibri" w:cs="Calibri" w:eastAsia="Calibri" w:hAnsi="Calibri"/>
          <w:color w:val="0E1A1C"/>
          <w:sz w:val="21"/>
          <w:szCs w:val="21"/>
        </w:rPr>
        <w:t xml:space="preserve">Zet peildatum en bron op het dashboard.</w:t>
      </w:r>
    </w:p>
    <w:p>
      <w:pPr>
        <w:pStyle w:val="ListParagraph"/>
        <w:numPr>
          <w:ilvl w:val="0"/>
          <w:numId w:val="2"/>
        </w:numPr>
        <w:spacing w:after="70" w:line="280"/>
      </w:pPr>
      <w:r>
        <w:rPr>
          <w:rFonts w:ascii="Calibri" w:cs="Calibri" w:eastAsia="Calibri" w:hAnsi="Calibri"/>
          <w:color w:val="0E1A1C"/>
          <w:sz w:val="21"/>
          <w:szCs w:val="21"/>
        </w:rPr>
        <w:t xml:space="preserve">Voer de vijfsecondentoets uit met iemand die de casus niet kent, en pas aan.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Dashboard op één scherm, de definitieve ene zin, en het resultaat van je vijfsecondentoets.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technisch fraai dashboard dat niets zegt over de rapportageketen beantwoordt de vraag niet. Dat weegt zwaarder dan een lelijke tegel.</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45 minuten</w:t>
      </w:r>
    </w:p>
    <w:p>
      <w:pPr>
        <w:spacing w:after="140"/>
      </w:pPr>
      <w:r>
        <w:rPr>
          <w:rFonts w:ascii="Cambria" w:cs="Cambria" w:eastAsia="Cambria" w:hAnsi="Cambria"/>
          <w:b/>
          <w:bCs/>
          <w:color w:val="1B4A48"/>
          <w:sz w:val="30"/>
          <w:szCs w:val="30"/>
        </w:rPr>
        <w:t xml:space="preserve">AVG-toets en verantwoording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juridische en methodische kant vastleggen, met eerlijke onzekerheid.</w:t>
      </w:r>
    </w:p>
    <w:p>
      <w:pPr>
        <w:pStyle w:val="ListParagraph"/>
        <w:numPr>
          <w:ilvl w:val="0"/>
          <w:numId w:val="2"/>
        </w:numPr>
        <w:spacing w:after="70" w:line="280"/>
      </w:pPr>
      <w:r>
        <w:rPr>
          <w:rFonts w:ascii="Calibri" w:cs="Calibri" w:eastAsia="Calibri" w:hAnsi="Calibri"/>
          <w:color w:val="0E1A1C"/>
          <w:sz w:val="21"/>
          <w:szCs w:val="21"/>
        </w:rPr>
        <w:t xml:space="preserve">Inventariseer welke persoonsgegevens in je dataset zitten en of er bijzondere categorieën bij zijn.</w:t>
      </w:r>
    </w:p>
    <w:p>
      <w:pPr>
        <w:pStyle w:val="ListParagraph"/>
        <w:numPr>
          <w:ilvl w:val="0"/>
          <w:numId w:val="2"/>
        </w:numPr>
        <w:spacing w:after="70" w:line="280"/>
      </w:pPr>
      <w:r>
        <w:rPr>
          <w:rFonts w:ascii="Calibri" w:cs="Calibri" w:eastAsia="Calibri" w:hAnsi="Calibri"/>
          <w:color w:val="0E1A1C"/>
          <w:sz w:val="21"/>
          <w:szCs w:val="21"/>
        </w:rPr>
        <w:t xml:space="preserve">Bepaal het doel van jouw verwerking en of dat binnen het oorspronkelijke doel valt.</w:t>
      </w:r>
    </w:p>
    <w:p>
      <w:pPr>
        <w:pStyle w:val="ListParagraph"/>
        <w:numPr>
          <w:ilvl w:val="0"/>
          <w:numId w:val="2"/>
        </w:numPr>
        <w:spacing w:after="70" w:line="280"/>
      </w:pPr>
      <w:r>
        <w:rPr>
          <w:rFonts w:ascii="Calibri" w:cs="Calibri" w:eastAsia="Calibri" w:hAnsi="Calibri"/>
          <w:color w:val="0E1A1C"/>
          <w:sz w:val="21"/>
          <w:szCs w:val="21"/>
        </w:rPr>
        <w:t xml:space="preserve">Bepaal de grondslag en waarom de andere vijf niet passen.</w:t>
      </w:r>
    </w:p>
    <w:p>
      <w:pPr>
        <w:pStyle w:val="ListParagraph"/>
        <w:numPr>
          <w:ilvl w:val="0"/>
          <w:numId w:val="2"/>
        </w:numPr>
        <w:spacing w:after="70" w:line="280"/>
      </w:pPr>
      <w:r>
        <w:rPr>
          <w:rFonts w:ascii="Calibri" w:cs="Calibri" w:eastAsia="Calibri" w:hAnsi="Calibri"/>
          <w:color w:val="0E1A1C"/>
          <w:sz w:val="21"/>
          <w:szCs w:val="21"/>
        </w:rPr>
        <w:t xml:space="preserve">Loop de zes beginselen langs; noteer per beginsel wat je weet, vermoedt of niet weet.</w:t>
      </w:r>
    </w:p>
    <w:p>
      <w:pPr>
        <w:pStyle w:val="ListParagraph"/>
        <w:numPr>
          <w:ilvl w:val="0"/>
          <w:numId w:val="2"/>
        </w:numPr>
        <w:spacing w:after="70" w:line="280"/>
      </w:pPr>
      <w:r>
        <w:rPr>
          <w:rFonts w:ascii="Calibri" w:cs="Calibri" w:eastAsia="Calibri" w:hAnsi="Calibri"/>
          <w:color w:val="0E1A1C"/>
          <w:sz w:val="21"/>
          <w:szCs w:val="21"/>
        </w:rPr>
        <w:t xml:space="preserve">Pas de vier ethische vragen toe op je dashboard.</w:t>
      </w:r>
    </w:p>
    <w:p>
      <w:pPr>
        <w:pStyle w:val="ListParagraph"/>
        <w:numPr>
          <w:ilvl w:val="0"/>
          <w:numId w:val="2"/>
        </w:numPr>
        <w:spacing w:after="70" w:line="280"/>
      </w:pPr>
      <w:r>
        <w:rPr>
          <w:rFonts w:ascii="Calibri" w:cs="Calibri" w:eastAsia="Calibri" w:hAnsi="Calibri"/>
          <w:color w:val="0E1A1C"/>
          <w:sz w:val="21"/>
          <w:szCs w:val="21"/>
        </w:rPr>
        <w:t xml:space="preserve">Formuleer één concrete vraag aan de functionaris gegevensbescherming.</w:t>
      </w:r>
    </w:p>
    <w:p>
      <w:pPr>
        <w:pStyle w:val="ListParagraph"/>
        <w:numPr>
          <w:ilvl w:val="0"/>
          <w:numId w:val="2"/>
        </w:numPr>
        <w:spacing w:after="70" w:line="280"/>
      </w:pPr>
      <w:r>
        <w:rPr>
          <w:rFonts w:ascii="Calibri" w:cs="Calibri" w:eastAsia="Calibri" w:hAnsi="Calibri"/>
          <w:color w:val="0E1A1C"/>
          <w:sz w:val="21"/>
          <w:szCs w:val="21"/>
        </w:rPr>
        <w:t xml:space="preserve">Schrijf de verantwoording van maximaal één A4 met de vijf onderdelen, plus een ketenschets met vraagtekens.</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AVG-toets van één A4 en verantwoording van maximaal één A4, inclusief ketenschets.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Bij minstens twee beginselen is "dit weet ik niet" het juiste antwoord. Dat opschrijven en aangeven aan wie je het zou vragen, telt zwaarder dan een aanname die goed klinkt.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45 minuten</w:t>
      </w:r>
    </w:p>
    <w:p>
      <w:pPr>
        <w:spacing w:after="140"/>
      </w:pPr>
      <w:r>
        <w:rPr>
          <w:rFonts w:ascii="Cambria" w:cs="Cambria" w:eastAsia="Cambria" w:hAnsi="Cambria"/>
          <w:b/>
          <w:bCs/>
          <w:color w:val="1B4A48"/>
          <w:sz w:val="30"/>
          <w:szCs w:val="30"/>
        </w:rPr>
        <w:t xml:space="preserve">Peer review</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Het werk van een medecursist beoordelen langs de rubric — en daarmee je eigen werk scherper zien.</w:t>
      </w:r>
    </w:p>
    <w:p>
      <w:pPr>
        <w:pStyle w:val="ListParagraph"/>
        <w:numPr>
          <w:ilvl w:val="0"/>
          <w:numId w:val="2"/>
        </w:numPr>
        <w:spacing w:after="70" w:line="280"/>
      </w:pPr>
      <w:r>
        <w:rPr>
          <w:rFonts w:ascii="Calibri" w:cs="Calibri" w:eastAsia="Calibri" w:hAnsi="Calibri"/>
          <w:color w:val="0E1A1C"/>
          <w:sz w:val="21"/>
          <w:szCs w:val="21"/>
        </w:rPr>
        <w:t xml:space="preserve">Lees de vier deliverables van je reviewpartner zonder toelichting van de maker.</w:t>
      </w:r>
    </w:p>
    <w:p>
      <w:pPr>
        <w:pStyle w:val="ListParagraph"/>
        <w:numPr>
          <w:ilvl w:val="0"/>
          <w:numId w:val="2"/>
        </w:numPr>
        <w:spacing w:after="70" w:line="280"/>
      </w:pPr>
      <w:r>
        <w:rPr>
          <w:rFonts w:ascii="Calibri" w:cs="Calibri" w:eastAsia="Calibri" w:hAnsi="Calibri"/>
          <w:color w:val="0E1A1C"/>
          <w:sz w:val="21"/>
          <w:szCs w:val="21"/>
        </w:rPr>
        <w:t xml:space="preserve">Scoor elk onderdeel op de rubric: voldoende, goed of uitmuntend, met per onderdeel één zin waarom.</w:t>
      </w:r>
    </w:p>
    <w:p>
      <w:pPr>
        <w:pStyle w:val="ListParagraph"/>
        <w:numPr>
          <w:ilvl w:val="0"/>
          <w:numId w:val="2"/>
        </w:numPr>
        <w:spacing w:after="70" w:line="280"/>
      </w:pPr>
      <w:r>
        <w:rPr>
          <w:rFonts w:ascii="Calibri" w:cs="Calibri" w:eastAsia="Calibri" w:hAnsi="Calibri"/>
          <w:color w:val="0E1A1C"/>
          <w:sz w:val="21"/>
          <w:szCs w:val="21"/>
        </w:rPr>
        <w:t xml:space="preserve">Voer de vijfsecondentoets uit op zijn dashboard en noteer wat je zag.</w:t>
      </w:r>
    </w:p>
    <w:p>
      <w:pPr>
        <w:pStyle w:val="ListParagraph"/>
        <w:numPr>
          <w:ilvl w:val="0"/>
          <w:numId w:val="2"/>
        </w:numPr>
        <w:spacing w:after="70" w:line="280"/>
      </w:pPr>
      <w:r>
        <w:rPr>
          <w:rFonts w:ascii="Calibri" w:cs="Calibri" w:eastAsia="Calibri" w:hAnsi="Calibri"/>
          <w:color w:val="0E1A1C"/>
          <w:sz w:val="21"/>
          <w:szCs w:val="21"/>
        </w:rPr>
        <w:t xml:space="preserve">Formuleer drie vragen die je in de verdediging zou stellen — en kies de scherpste.</w:t>
      </w:r>
    </w:p>
    <w:p>
      <w:pPr>
        <w:pStyle w:val="ListParagraph"/>
        <w:numPr>
          <w:ilvl w:val="0"/>
          <w:numId w:val="2"/>
        </w:numPr>
        <w:spacing w:after="70" w:line="280"/>
      </w:pPr>
      <w:r>
        <w:rPr>
          <w:rFonts w:ascii="Calibri" w:cs="Calibri" w:eastAsia="Calibri" w:hAnsi="Calibri"/>
          <w:color w:val="0E1A1C"/>
          <w:sz w:val="21"/>
          <w:szCs w:val="21"/>
        </w:rPr>
        <w:t xml:space="preserve">Benoem één ding dat je van zijn aanpak overneemt.</w:t>
      </w:r>
    </w:p>
    <w:p>
      <w:pPr>
        <w:pStyle w:val="ListParagraph"/>
        <w:numPr>
          <w:ilvl w:val="0"/>
          <w:numId w:val="2"/>
        </w:numPr>
        <w:spacing w:after="70" w:line="280"/>
      </w:pPr>
      <w:r>
        <w:rPr>
          <w:rFonts w:ascii="Calibri" w:cs="Calibri" w:eastAsia="Calibri" w:hAnsi="Calibri"/>
          <w:color w:val="0E1A1C"/>
          <w:sz w:val="21"/>
          <w:szCs w:val="21"/>
        </w:rPr>
        <w:t xml:space="preserve">Geef je feedback mondeling, beginnend bij wat werkt.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Ingevulde rubric met toelichting, drie vragen en één punt dat je overneemt.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scherpste vraag is meestal niet "waarom heb je dit gedaan" maar "wat gebeurt er met je conclusie als deze aanname niet klopt".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20 minuten</w:t>
      </w:r>
    </w:p>
    <w:p>
      <w:pPr>
        <w:spacing w:after="140"/>
      </w:pPr>
      <w:r>
        <w:rPr>
          <w:rFonts w:ascii="Cambria" w:cs="Cambria" w:eastAsia="Cambria" w:hAnsi="Cambria"/>
          <w:b/>
          <w:bCs/>
          <w:color w:val="1B4A48"/>
          <w:sz w:val="30"/>
          <w:szCs w:val="30"/>
        </w:rPr>
        <w:t xml:space="preserve">Verdediging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Je werk presenteren en verdedigen voor een kritisch panel.</w:t>
      </w:r>
    </w:p>
    <w:p>
      <w:pPr>
        <w:pStyle w:val="ListParagraph"/>
        <w:numPr>
          <w:ilvl w:val="0"/>
          <w:numId w:val="2"/>
        </w:numPr>
        <w:spacing w:after="70" w:line="280"/>
      </w:pPr>
      <w:r>
        <w:rPr>
          <w:rFonts w:ascii="Calibri" w:cs="Calibri" w:eastAsia="Calibri" w:hAnsi="Calibri"/>
          <w:color w:val="0E1A1C"/>
          <w:sz w:val="21"/>
          <w:szCs w:val="21"/>
        </w:rPr>
        <w:t xml:space="preserve">Tien minuten presentatie volgens de opbouw situatie, complicatie, vraag, antwoord, grenzen.</w:t>
      </w:r>
    </w:p>
    <w:p>
      <w:pPr>
        <w:pStyle w:val="ListParagraph"/>
        <w:numPr>
          <w:ilvl w:val="0"/>
          <w:numId w:val="2"/>
        </w:numPr>
        <w:spacing w:after="70" w:line="280"/>
      </w:pPr>
      <w:r>
        <w:rPr>
          <w:rFonts w:ascii="Calibri" w:cs="Calibri" w:eastAsia="Calibri" w:hAnsi="Calibri"/>
          <w:color w:val="0E1A1C"/>
          <w:sz w:val="21"/>
          <w:szCs w:val="21"/>
        </w:rPr>
        <w:t xml:space="preserve">Gebruik alleen de visuals die de boodschap dragen; de rest blijft in de bijlage.</w:t>
      </w:r>
    </w:p>
    <w:p>
      <w:pPr>
        <w:pStyle w:val="ListParagraph"/>
        <w:numPr>
          <w:ilvl w:val="0"/>
          <w:numId w:val="2"/>
        </w:numPr>
        <w:spacing w:after="70" w:line="280"/>
      </w:pPr>
      <w:r>
        <w:rPr>
          <w:rFonts w:ascii="Calibri" w:cs="Calibri" w:eastAsia="Calibri" w:hAnsi="Calibri"/>
          <w:color w:val="0E1A1C"/>
          <w:sz w:val="21"/>
          <w:szCs w:val="21"/>
        </w:rPr>
        <w:t xml:space="preserve">Vraag een concreet besluit van een concreet persoon.</w:t>
      </w:r>
    </w:p>
    <w:p>
      <w:pPr>
        <w:pStyle w:val="ListParagraph"/>
        <w:numPr>
          <w:ilvl w:val="0"/>
          <w:numId w:val="2"/>
        </w:numPr>
        <w:spacing w:after="70" w:line="280"/>
      </w:pPr>
      <w:r>
        <w:rPr>
          <w:rFonts w:ascii="Calibri" w:cs="Calibri" w:eastAsia="Calibri" w:hAnsi="Calibri"/>
          <w:color w:val="0E1A1C"/>
          <w:sz w:val="21"/>
          <w:szCs w:val="21"/>
        </w:rPr>
        <w:t xml:space="preserve">Tien minuten vragen van het panel.</w:t>
      </w:r>
    </w:p>
    <w:p>
      <w:pPr>
        <w:pStyle w:val="ListParagraph"/>
        <w:numPr>
          <w:ilvl w:val="0"/>
          <w:numId w:val="2"/>
        </w:numPr>
        <w:spacing w:after="70" w:line="280"/>
      </w:pPr>
      <w:r>
        <w:rPr>
          <w:rFonts w:ascii="Calibri" w:cs="Calibri" w:eastAsia="Calibri" w:hAnsi="Calibri"/>
          <w:color w:val="0E1A1C"/>
          <w:sz w:val="21"/>
          <w:szCs w:val="21"/>
        </w:rPr>
        <w:t xml:space="preserve">Noteer achteraf welke vraag je niet kon beantwoorden en hoe je het zou uitzoeken.</w:t>
      </w:r>
    </w:p>
    <w:p>
      <w:pPr>
        <w:pStyle w:val="ListParagraph"/>
        <w:numPr>
          <w:ilvl w:val="0"/>
          <w:numId w:val="2"/>
        </w:numPr>
        <w:spacing w:after="70" w:line="280"/>
      </w:pPr>
      <w:r>
        <w:rPr>
          <w:rFonts w:ascii="Calibri" w:cs="Calibri" w:eastAsia="Calibri" w:hAnsi="Calibri"/>
          <w:color w:val="0E1A1C"/>
          <w:sz w:val="21"/>
          <w:szCs w:val="21"/>
        </w:rPr>
        <w:t xml:space="preserve">Bepaal op grond van je proefexamenscores uit deel 9 je go of no-go, en leg de datum vast.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Gehouden verdediging, één onbeantwoorde vraag met onderzoeksaanpak, en een vastgelegde datum.</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"Dat weet ik niet, en zo zou ik het uitzoeken" is het beste antwoord dat er is op een vraag die je niet kunt beantwoorden. Een verzonnen antwoord kost meer dan de vraag waard was.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Je vindt in de capstonedataset twaalf kwaliteitsafwijkingen. Wat lever je op?</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Alle twaalf, want volledigheid telt.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Drie, gekozen op impact, met een expliciete verantwoording van wat je niet behandelde.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drie meest opvallende, zonder verdere toelichting.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Alleen de afwijkingen die je kunt oplossen.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Een bevinding luidt: "de e-mailadressen deugen niet." Wat ontbreekt er?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Niets, dit is voldoende concreet.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Dimensie, meting, gevolg en eigenaar.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Alleen de eigenaar.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Alleen de meting.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Waarom controleer je het semantische model vóórdat je het dashboard bouwt?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 sneller te kunnen bouwen.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een dashboard op een verkeerd model er prima uitziet en verkeerd telt.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Power BI het anders weigert.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 het bestand kleiner te maken.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In je AVG-toets weet je bij twee beginselen het antwoord niet. Wat doe je?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plausibele aanname invullen.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Opschrijven dat je het niet weet en aangeven aan wie je het zou vragen.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Die beginselen weglaten.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toets uitstellen tot je het weet.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Wat hoort er in de verantwoording dat het minst gebruikelijk is?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gebruikte bron.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Wat de analyse níét aantoont, concreet geformuleerd.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peildatum.</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naam van de maker.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Vraagtekens in je ketenschets. Hoe worden die beoordeeld?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Als een gebrek — je had het moeten uitzoeken.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Als een pluspunt: ze tonen dat je de keten hebt onderzocht in plaats van aangenomen.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Neutraal.</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Ze horen niet in een oplevering.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Het panel stelt een vraag die je niet kunt beantwoorden. Wat is het beste antwoord?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plausibel antwoord geven en doorgaan.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"Dat weet ik niet, en zo zou ik het uitzoeken."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vraag terugleggen bij het panel.</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Verwijzen naar de bijlage.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Je scoorde 62% op één proefexamen en 58% op het andere. Wat is het verstandige besluit?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Inschrijven, 62 is voldoende.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No-go: dit is geen marge maar geluk; eerst gericht bijstuderen met een hertoetsdatum.</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derde proefexamen doen en dan beslissen.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Inschrijven en de dag ervoor nog bijstuderen.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Waarom kiezen we KPI's die de DNB-bevinding raken?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Omdat toezichthouders altijd voorrang hebben.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een dashboard dat de vraag van de opdrachtgever niet beantwoordt, technisch fraai maar nutteloos is.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andere KPI's niet meetbaar zijn.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de rubric het voorschrijft.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Wat is de scherpste vraag in een peer review?</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"Waarom heb je dit gedaan?"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"Wat gebeurt er met je conclusie als deze aanname niet klopt?"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"Heb je alles onderzocht?"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"Welke tool heb je gebruikt?"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Je scoort onvoldoende op één van de vijf rubriekonderdelen. Wat volgt?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hele capstone opnieuw.</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Alleen dat onderdeel opnieuw leveren.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Geen toegang tot niveau 2.</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Automatisch een no-go voor het examen.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Waarom bewaar je je capstone?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Voor je portfolio bij een sollicitatie.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de capstone van deel 21 op dezelfde casus bouwt en meetelt voor de ervaringsbeoordeling bij Master.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Voor de hercertificering over drie jaar.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DAMA erom kan vragen.</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 onderdeel van de capstone kostte je het meeste tijd — en had je dat vooraf zo ingeschat?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Welke vraag uit de verdediging blijft bij je hangen?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Wat neem je uit dit hele niveau mee naar je werk van volgende week?</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10 — Capstone — de nulmeting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 de nulmeting — Werkboek</dc:title>
  <dc:creator>Ductus B.V.</dc:creator>
  <dc:description>Cursusmateriaal datamanagement, data-analyse en data governance</dc:description>
  <cp:lastModifiedBy>Un-named</cp:lastModifiedBy>
  <cp:revision>1</cp:revision>
  <dcterms:created xsi:type="dcterms:W3CDTF">2026-08-05T10:35:02.164Z</dcterms:created>
  <dcterms:modified xsi:type="dcterms:W3CDTF">2026-08-05T10:35:02.164Z</dcterms:modified>
</cp:coreProperties>
</file>

<file path=docProps/custom.xml><?xml version="1.0" encoding="utf-8"?>
<Properties xmlns="http://schemas.openxmlformats.org/officeDocument/2006/custom-properties" xmlns:vt="http://schemas.openxmlformats.org/officeDocument/2006/docPropsVTypes"/>
</file>