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11</w:t>
      </w:r>
    </w:p>
    <w:p>
      <w:pPr>
        <w:spacing w:after="120"/>
      </w:pPr>
      <w:r>
        <w:rPr>
          <w:rFonts w:ascii="Cambria" w:cs="Cambria" w:eastAsia="Cambria" w:hAnsi="Cambria"/>
          <w:b/>
          <w:bCs/>
          <w:color w:val="0E1A1C"/>
          <w:sz w:val="56"/>
          <w:szCs w:val="56"/>
        </w:rPr>
        <w:t xml:space="preserve">Frameworks in de praktijk</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4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Interviewkaarten, scoringsformulier, kalibratiesheet, geprinte bewijsstukken</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11 gelezen; niveau 1 afgerond of gelijkwaardige kennis aangetoond via de instaptoets.</w:t>
      </w:r>
    </w:p>
    <w:p>
      <w:pPr>
        <w:pStyle w:val="ListParagraph"/>
        <w:numPr>
          <w:ilvl w:val="0"/>
          <w:numId w:val="2"/>
        </w:numPr>
        <w:spacing w:after="70" w:line="280"/>
      </w:pPr>
      <w:r>
        <w:rPr>
          <w:rFonts w:ascii="Calibri" w:cs="Calibri" w:eastAsia="Calibri" w:hAnsi="Calibri"/>
          <w:color w:val="0E1A1C"/>
          <w:sz w:val="21"/>
          <w:szCs w:val="21"/>
        </w:rPr>
        <w:t xml:space="preserve">Opdracht 1 en 2 gemaakt. Vraag bij binnenkomst wie een raamwerk heeft gekozen dat níét DMBOK is — dat gesprek is het beste begin van de dag.</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Rolbeschrijvingen voor opdracht 3: een domeindirecteur die het beter voorstelt dan het is, een steward die eerlijk is maar geen mandaat heeft, een IT-beheerder die alles technisch benadert, en een sceptische controller.</w:t>
      </w:r>
    </w:p>
    <w:p>
      <w:pPr>
        <w:pStyle w:val="ListParagraph"/>
        <w:numPr>
          <w:ilvl w:val="0"/>
          <w:numId w:val="2"/>
        </w:numPr>
        <w:spacing w:after="70" w:line="280"/>
      </w:pPr>
      <w:r>
        <w:rPr>
          <w:rFonts w:ascii="Calibri" w:cs="Calibri" w:eastAsia="Calibri" w:hAnsi="Calibri"/>
          <w:color w:val="0E1A1C"/>
          <w:sz w:val="21"/>
          <w:szCs w:val="21"/>
        </w:rPr>
        <w:t xml:space="preserve">Interviewmateriaal voor opdracht 4: uitgeschreven fragmenten uit zes gebieden, met bewust ongelijke bewijskwaliteit.</w:t>
      </w:r>
    </w:p>
    <w:p>
      <w:pPr>
        <w:pStyle w:val="ListParagraph"/>
        <w:numPr>
          <w:ilvl w:val="0"/>
          <w:numId w:val="2"/>
        </w:numPr>
        <w:spacing w:after="70" w:line="280"/>
      </w:pPr>
      <w:r>
        <w:rPr>
          <w:rFonts w:ascii="Calibri" w:cs="Calibri" w:eastAsia="Calibri" w:hAnsi="Calibri"/>
          <w:color w:val="0E1A1C"/>
          <w:sz w:val="21"/>
          <w:szCs w:val="21"/>
        </w:rPr>
        <w:t xml:space="preserve">Acht bewijsstukken voor opdracht 5, waarvan twee die sterk lijken en het niet zijn: de begrippenlijst met vierhonderd termen zonder eigenaar, en een governancecharter dat nooit is vastgesteld.</w:t>
      </w:r>
    </w:p>
    <w:p>
      <w:pPr>
        <w:pStyle w:val="ListParagraph"/>
        <w:numPr>
          <w:ilvl w:val="0"/>
          <w:numId w:val="2"/>
        </w:numPr>
        <w:spacing w:after="70" w:line="280"/>
      </w:pPr>
      <w:r>
        <w:rPr>
          <w:rFonts w:ascii="Calibri" w:cs="Calibri" w:eastAsia="Calibri" w:hAnsi="Calibri"/>
          <w:color w:val="0E1A1C"/>
          <w:sz w:val="21"/>
          <w:szCs w:val="21"/>
        </w:rPr>
        <w:t xml:space="preserve">Een scoringsformulier met de vijf niveaus en hun definities, plus een kalibratiesheet.</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Dit is het eerste deel van niveau 2 en het zet de toon: vanaf hier lever je artefacten in plaats van oefeningen. Deel 16 bouwt op dit deel voort met het volledige governance operating model; samen vormen ze de kern van de voorbereiding op het specialistexamen Data Governance. De assessmentvaardigheid komt terug in de capstone van deel 21.</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waarom frameworks stranden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Begin bij iemand die geen DMBOK koos en laat hem verdedigen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0:20–0:40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Bespreking opdracht 1 en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Stuur op de spanning tussen aantoonbaarheid en draagkracht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0:40–1:40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het interview</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Wissel halverwege de rollen; houd de tijd strak</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1:55–2:45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scoren en kalibreren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Laat eerst echt onafhankelijk scoren; loop rond om overleg te voorkomen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2:45–3:25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bewijs beoordelen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twee schijnbewijzen zijn het leermoment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3:25–3:55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ambitieniveau</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Dwing drie scenario’s af, geen enkel advies</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3:55–4:00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7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Frameworkvergelijking</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spanning benoemd tussen criterium één en twee (aantoonbaarheid richting DNB) en criterium vijf (draagkracht bij lage volwassenheid).</w:t>
      </w:r>
    </w:p>
    <w:p>
      <w:pPr>
        <w:pStyle w:val="ListParagraph"/>
        <w:numPr>
          <w:ilvl w:val="0"/>
          <w:numId w:val="2"/>
        </w:numPr>
        <w:spacing w:after="70" w:line="280"/>
      </w:pPr>
      <w:r>
        <w:rPr>
          <w:rFonts w:ascii="Calibri" w:cs="Calibri" w:eastAsia="Calibri" w:hAnsi="Calibri"/>
          <w:color w:val="0E1A1C"/>
          <w:sz w:val="21"/>
          <w:szCs w:val="21"/>
        </w:rPr>
        <w:t xml:space="preserve">Een gesnoeid raamwerk als uitweg, met expliciete verantwoording van wat is weggelaten.</w:t>
      </w:r>
    </w:p>
    <w:p>
      <w:pPr>
        <w:pStyle w:val="ListParagraph"/>
        <w:numPr>
          <w:ilvl w:val="0"/>
          <w:numId w:val="2"/>
        </w:numPr>
        <w:spacing w:after="70" w:line="280"/>
      </w:pPr>
      <w:r>
        <w:rPr>
          <w:rFonts w:ascii="Calibri" w:cs="Calibri" w:eastAsia="Calibri" w:hAnsi="Calibri"/>
          <w:color w:val="0E1A1C"/>
          <w:sz w:val="21"/>
          <w:szCs w:val="21"/>
        </w:rPr>
        <w:t xml:space="preserve">Per afgewezen raamwerk één zin die klopt, niet een algemeen "past niet".</w:t>
      </w:r>
    </w:p>
    <w:p>
      <w:pPr>
        <w:pStyle w:val="ListParagraph"/>
        <w:numPr>
          <w:ilvl w:val="0"/>
          <w:numId w:val="2"/>
        </w:numPr>
        <w:spacing w:after="70" w:line="280"/>
      </w:pPr>
      <w:r>
        <w:rPr>
          <w:rFonts w:ascii="Calibri" w:cs="Calibri" w:eastAsia="Calibri" w:hAnsi="Calibri"/>
          <w:color w:val="0E1A1C"/>
          <w:sz w:val="21"/>
          <w:szCs w:val="21"/>
        </w:rPr>
        <w:t xml:space="preserve">Een antwoord op de DCAM-vraag dat het lidmaatschap benoemt als organisatiebesluit met kosten.</w:t>
      </w:r>
    </w:p>
    <w:p>
      <w:pPr>
        <w:pStyle w:val="ListParagraph"/>
        <w:numPr>
          <w:ilvl w:val="0"/>
          <w:numId w:val="2"/>
        </w:numPr>
        <w:spacing w:after="70" w:line="280"/>
      </w:pPr>
      <w:r>
        <w:rPr>
          <w:rFonts w:ascii="Calibri" w:cs="Calibri" w:eastAsia="Calibri" w:hAnsi="Calibri"/>
          <w:color w:val="0E1A1C"/>
          <w:sz w:val="21"/>
          <w:szCs w:val="21"/>
        </w:rPr>
        <w:t xml:space="preserve">Erkenning dat de keuze verandert zodra Meridiaan lid wordt.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DMBOK kiezen als assessmentraamwerk zonder te benoemen dat je dan je eigen schaal maakt.</w:t>
      </w:r>
    </w:p>
    <w:p>
      <w:pPr>
        <w:pStyle w:val="ListParagraph"/>
        <w:numPr>
          <w:ilvl w:val="0"/>
          <w:numId w:val="2"/>
        </w:numPr>
        <w:spacing w:after="70" w:line="280"/>
      </w:pPr>
      <w:r>
        <w:rPr>
          <w:rFonts w:ascii="Calibri" w:cs="Calibri" w:eastAsia="Calibri" w:hAnsi="Calibri"/>
          <w:color w:val="0E1A1C"/>
          <w:sz w:val="21"/>
          <w:szCs w:val="21"/>
        </w:rPr>
        <w:t xml:space="preserve">De afwijzingen invullen met "te zwaar" of "niet bekend". Vraag door op het criterium.</w:t>
      </w:r>
    </w:p>
    <w:p>
      <w:pPr>
        <w:pStyle w:val="ListParagraph"/>
        <w:numPr>
          <w:ilvl w:val="0"/>
          <w:numId w:val="2"/>
        </w:numPr>
        <w:spacing w:after="70" w:line="280"/>
      </w:pPr>
      <w:r>
        <w:rPr>
          <w:rFonts w:ascii="Calibri" w:cs="Calibri" w:eastAsia="Calibri" w:hAnsi="Calibri"/>
          <w:color w:val="0E1A1C"/>
          <w:sz w:val="21"/>
          <w:szCs w:val="21"/>
        </w:rPr>
        <w:t xml:space="preserve">De draagkrachtvraag negeren; drie weken interviews is bij Meridiaan niet realistisch.</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zeg je tegen de CFO die heeft gehoord dat DCAM de standaard is in de financiële sector?</w:t>
            </w:r>
          </w:p>
        </w:tc>
      </w:tr>
    </w:tbl>
    <w:p>
      <w:pPr>
        <w:pStyle w:val="Heading2"/>
        <w:spacing w:after="140" w:before="340"/>
      </w:pPr>
      <w:r>
        <w:rPr>
          <w:rFonts w:ascii="Cambria" w:cs="Cambria" w:eastAsia="Cambria" w:hAnsi="Cambria"/>
          <w:b/>
          <w:bCs/>
          <w:color w:val="0E1A1C"/>
          <w:sz w:val="26"/>
          <w:szCs w:val="26"/>
        </w:rPr>
        <w:t xml:space="preserve">Opdracht 2 — Interviewvragen ontwerpen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Vragen die naar het laatste concrete geval vragen in plaats van naar een oordeel.</w:t>
      </w:r>
    </w:p>
    <w:p>
      <w:pPr>
        <w:pStyle w:val="ListParagraph"/>
        <w:numPr>
          <w:ilvl w:val="0"/>
          <w:numId w:val="2"/>
        </w:numPr>
        <w:spacing w:after="70" w:line="280"/>
      </w:pPr>
      <w:r>
        <w:rPr>
          <w:rFonts w:ascii="Calibri" w:cs="Calibri" w:eastAsia="Calibri" w:hAnsi="Calibri"/>
          <w:color w:val="0E1A1C"/>
          <w:sz w:val="21"/>
          <w:szCs w:val="21"/>
        </w:rPr>
        <w:t xml:space="preserve">Per vraag een beoogd bewijsniveau, met minstens vijf vragen die op waarneming mikken.</w:t>
      </w:r>
    </w:p>
    <w:p>
      <w:pPr>
        <w:pStyle w:val="ListParagraph"/>
        <w:numPr>
          <w:ilvl w:val="0"/>
          <w:numId w:val="2"/>
        </w:numPr>
        <w:spacing w:after="70" w:line="280"/>
      </w:pPr>
      <w:r>
        <w:rPr>
          <w:rFonts w:ascii="Calibri" w:cs="Calibri" w:eastAsia="Calibri" w:hAnsi="Calibri"/>
          <w:color w:val="0E1A1C"/>
          <w:sz w:val="21"/>
          <w:szCs w:val="21"/>
        </w:rPr>
        <w:t xml:space="preserve">Drie herschreven scorevragen, met zichtbaar wat er veranderde.</w:t>
      </w:r>
    </w:p>
    <w:p>
      <w:pPr>
        <w:pStyle w:val="ListParagraph"/>
        <w:numPr>
          <w:ilvl w:val="0"/>
          <w:numId w:val="2"/>
        </w:numPr>
        <w:spacing w:after="70" w:line="280"/>
      </w:pPr>
      <w:r>
        <w:rPr>
          <w:rFonts w:ascii="Calibri" w:cs="Calibri" w:eastAsia="Calibri" w:hAnsi="Calibri"/>
          <w:color w:val="0E1A1C"/>
          <w:sz w:val="21"/>
          <w:szCs w:val="21"/>
        </w:rPr>
        <w:t xml:space="preserve">Doorvraagzinnen die beleefd genoeg zijn om altijd te kunnen stellen.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Vragen die met ja of nee te beantwoorden zijn. Die leveren een uitspraak op en niets meer.</w:t>
      </w:r>
    </w:p>
    <w:p>
      <w:pPr>
        <w:pStyle w:val="ListParagraph"/>
        <w:numPr>
          <w:ilvl w:val="0"/>
          <w:numId w:val="2"/>
        </w:numPr>
        <w:spacing w:after="70" w:line="280"/>
      </w:pPr>
      <w:r>
        <w:rPr>
          <w:rFonts w:ascii="Calibri" w:cs="Calibri" w:eastAsia="Calibri" w:hAnsi="Calibri"/>
          <w:color w:val="0E1A1C"/>
          <w:sz w:val="21"/>
          <w:szCs w:val="21"/>
        </w:rPr>
        <w:t xml:space="preserve">Alle vragen op documentniveau mikken. De waarnemingsvragen zijn de waardevolle.</w:t>
      </w:r>
    </w:p>
    <w:p>
      <w:pPr>
        <w:pStyle w:val="ListParagraph"/>
        <w:numPr>
          <w:ilvl w:val="0"/>
          <w:numId w:val="2"/>
        </w:numPr>
        <w:spacing w:after="70" w:line="280"/>
      </w:pPr>
      <w:r>
        <w:rPr>
          <w:rFonts w:ascii="Calibri" w:cs="Calibri" w:eastAsia="Calibri" w:hAnsi="Calibri"/>
          <w:color w:val="0E1A1C"/>
          <w:sz w:val="21"/>
          <w:szCs w:val="21"/>
        </w:rPr>
        <w:t xml:space="preserve">Doorvraagzinnen die confronterend zijn; dan sluit de respondent zich af.</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van jouw vijftien vragen levert waarschijnlijk niets op? Waarom stond hij er dan in?</w:t>
            </w:r>
          </w:p>
        </w:tc>
      </w:tr>
    </w:tbl>
    <w:p>
      <w:pPr>
        <w:pStyle w:val="Heading2"/>
        <w:spacing w:after="140" w:before="340"/>
      </w:pPr>
      <w:r>
        <w:rPr>
          <w:rFonts w:ascii="Cambria" w:cs="Cambria" w:eastAsia="Cambria" w:hAnsi="Cambria"/>
          <w:b/>
          <w:bCs/>
          <w:color w:val="0E1A1C"/>
          <w:sz w:val="26"/>
          <w:szCs w:val="26"/>
        </w:rPr>
        <w:t xml:space="preserve">Opdracht 3 — Het assessmentinterview</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Een kantelpunt benoemd waarop het gesprek van meningen naar bewijs ging, meestal na een "kunt u me dat laten zien".</w:t>
      </w:r>
    </w:p>
    <w:p>
      <w:pPr>
        <w:pStyle w:val="ListParagraph"/>
        <w:numPr>
          <w:ilvl w:val="0"/>
          <w:numId w:val="2"/>
        </w:numPr>
        <w:spacing w:after="70" w:line="280"/>
      </w:pPr>
      <w:r>
        <w:rPr>
          <w:rFonts w:ascii="Calibri" w:cs="Calibri" w:eastAsia="Calibri" w:hAnsi="Calibri"/>
          <w:color w:val="0E1A1C"/>
          <w:sz w:val="21"/>
          <w:szCs w:val="21"/>
        </w:rPr>
        <w:t xml:space="preserve">Bewijsniveau genoteerd per antwoord in plaats van achteraf ingeschat.</w:t>
      </w:r>
    </w:p>
    <w:p>
      <w:pPr>
        <w:pStyle w:val="ListParagraph"/>
        <w:numPr>
          <w:ilvl w:val="0"/>
          <w:numId w:val="2"/>
        </w:numPr>
        <w:spacing w:after="70" w:line="280"/>
      </w:pPr>
      <w:r>
        <w:rPr>
          <w:rFonts w:ascii="Calibri" w:cs="Calibri" w:eastAsia="Calibri" w:hAnsi="Calibri"/>
          <w:color w:val="0E1A1C"/>
          <w:sz w:val="21"/>
          <w:szCs w:val="21"/>
        </w:rPr>
        <w:t xml:space="preserve">Als respondent daadwerkelijk de neiging gespeeld om het beter voor te stellen — dat maakt de oefening pas leerzaam.</w:t>
      </w:r>
    </w:p>
    <w:p>
      <w:pPr>
        <w:pStyle w:val="ListParagraph"/>
        <w:numPr>
          <w:ilvl w:val="0"/>
          <w:numId w:val="2"/>
        </w:numPr>
        <w:spacing w:after="70" w:line="280"/>
      </w:pPr>
      <w:r>
        <w:rPr>
          <w:rFonts w:ascii="Calibri" w:cs="Calibri" w:eastAsia="Calibri" w:hAnsi="Calibri"/>
          <w:color w:val="0E1A1C"/>
          <w:sz w:val="21"/>
          <w:szCs w:val="21"/>
        </w:rPr>
        <w:t xml:space="preserve">Herkenning dat de sceptische controller het scherpste tegenbewijs levert.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Als assessor de score al invullen tijdens het gesprek. Verzamel eerst, oordeel later.</w:t>
      </w:r>
    </w:p>
    <w:p>
      <w:pPr>
        <w:pStyle w:val="ListParagraph"/>
        <w:numPr>
          <w:ilvl w:val="0"/>
          <w:numId w:val="2"/>
        </w:numPr>
        <w:spacing w:after="70" w:line="280"/>
      </w:pPr>
      <w:r>
        <w:rPr>
          <w:rFonts w:ascii="Calibri" w:cs="Calibri" w:eastAsia="Calibri" w:hAnsi="Calibri"/>
          <w:color w:val="0E1A1C"/>
          <w:sz w:val="21"/>
          <w:szCs w:val="21"/>
        </w:rPr>
        <w:t xml:space="preserve">Als respondent te meegaand spelen. Grijp in; het echte gesprek is nooit zo makkelijk.</w:t>
      </w:r>
    </w:p>
    <w:p>
      <w:pPr>
        <w:pStyle w:val="ListParagraph"/>
        <w:numPr>
          <w:ilvl w:val="0"/>
          <w:numId w:val="2"/>
        </w:numPr>
        <w:spacing w:after="70" w:line="280"/>
      </w:pPr>
      <w:r>
        <w:rPr>
          <w:rFonts w:ascii="Calibri" w:cs="Calibri" w:eastAsia="Calibri" w:hAnsi="Calibri"/>
          <w:color w:val="0E1A1C"/>
          <w:sz w:val="21"/>
          <w:szCs w:val="21"/>
        </w:rPr>
        <w:t xml:space="preserve">Het kantelpunt niet vinden en dat als mislukking zien — juist dán is de analyse waardevol.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deed je zelf als respondent toen je een vraag kreeg die je niet kon beantwoorden?</w:t>
            </w:r>
          </w:p>
        </w:tc>
      </w:tr>
    </w:tbl>
    <w:p>
      <w:pPr>
        <w:pStyle w:val="Heading2"/>
        <w:spacing w:after="140" w:before="340"/>
      </w:pPr>
      <w:r>
        <w:rPr>
          <w:rFonts w:ascii="Cambria" w:cs="Cambria" w:eastAsia="Cambria" w:hAnsi="Cambria"/>
          <w:b/>
          <w:bCs/>
          <w:color w:val="0E1A1C"/>
          <w:sz w:val="26"/>
          <w:szCs w:val="26"/>
        </w:rPr>
        <w:t xml:space="preserve">Opdracht 4 — Scoren en kalibreren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Werkelijk onafhankelijk gescoord, zichtbaar aan verschillende scores.</w:t>
      </w:r>
    </w:p>
    <w:p>
      <w:pPr>
        <w:pStyle w:val="ListParagraph"/>
        <w:numPr>
          <w:ilvl w:val="0"/>
          <w:numId w:val="2"/>
        </w:numPr>
        <w:spacing w:after="70" w:line="280"/>
      </w:pPr>
      <w:r>
        <w:rPr>
          <w:rFonts w:ascii="Calibri" w:cs="Calibri" w:eastAsia="Calibri" w:hAnsi="Calibri"/>
          <w:color w:val="0E1A1C"/>
          <w:sz w:val="21"/>
          <w:szCs w:val="21"/>
        </w:rPr>
        <w:t xml:space="preserve">Verschillen van twee niveaus of meer herleid naar bewijs en niet naar interpretatie.</w:t>
      </w:r>
    </w:p>
    <w:p>
      <w:pPr>
        <w:pStyle w:val="ListParagraph"/>
        <w:numPr>
          <w:ilvl w:val="0"/>
          <w:numId w:val="2"/>
        </w:numPr>
        <w:spacing w:after="70" w:line="280"/>
      </w:pPr>
      <w:r>
        <w:rPr>
          <w:rFonts w:ascii="Calibri" w:cs="Calibri" w:eastAsia="Calibri" w:hAnsi="Calibri"/>
          <w:color w:val="0E1A1C"/>
          <w:sz w:val="21"/>
          <w:szCs w:val="21"/>
        </w:rPr>
        <w:t xml:space="preserve">Bij één niveau verschil de laagste gekozen met de spreiding erbij.</w:t>
      </w:r>
    </w:p>
    <w:p>
      <w:pPr>
        <w:pStyle w:val="ListParagraph"/>
        <w:numPr>
          <w:ilvl w:val="0"/>
          <w:numId w:val="2"/>
        </w:numPr>
        <w:spacing w:after="70" w:line="280"/>
      </w:pPr>
      <w:r>
        <w:rPr>
          <w:rFonts w:ascii="Calibri" w:cs="Calibri" w:eastAsia="Calibri" w:hAnsi="Calibri"/>
          <w:color w:val="0E1A1C"/>
          <w:sz w:val="21"/>
          <w:szCs w:val="21"/>
        </w:rPr>
        <w:t xml:space="preserve">Een eerlijke zelfobservatie over de eigen neiging.</w:t>
      </w:r>
    </w:p>
    <w:p>
      <w:pPr>
        <w:pStyle w:val="ListParagraph"/>
        <w:numPr>
          <w:ilvl w:val="0"/>
          <w:numId w:val="2"/>
        </w:numPr>
        <w:spacing w:after="70" w:line="280"/>
      </w:pPr>
      <w:r>
        <w:rPr>
          <w:rFonts w:ascii="Calibri" w:cs="Calibri" w:eastAsia="Calibri" w:hAnsi="Calibri"/>
          <w:color w:val="0E1A1C"/>
          <w:sz w:val="21"/>
          <w:szCs w:val="21"/>
        </w:rPr>
        <w:t xml:space="preserve">Een kalibratievastlegging die over twee jaar nog leesbaar is.</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Overleggen tijdens het scoren. Loop rond en onderbreek dat.</w:t>
      </w:r>
    </w:p>
    <w:p>
      <w:pPr>
        <w:pStyle w:val="ListParagraph"/>
        <w:numPr>
          <w:ilvl w:val="0"/>
          <w:numId w:val="2"/>
        </w:numPr>
        <w:spacing w:after="70" w:line="280"/>
      </w:pPr>
      <w:r>
        <w:rPr>
          <w:rFonts w:ascii="Calibri" w:cs="Calibri" w:eastAsia="Calibri" w:hAnsi="Calibri"/>
          <w:color w:val="0E1A1C"/>
          <w:sz w:val="21"/>
          <w:szCs w:val="21"/>
        </w:rPr>
        <w:t xml:space="preserve">Alle verschillen middelen. Dat verbergt precies wat de opdrachtgever moet weten.</w:t>
      </w:r>
    </w:p>
    <w:p>
      <w:pPr>
        <w:pStyle w:val="ListParagraph"/>
        <w:numPr>
          <w:ilvl w:val="0"/>
          <w:numId w:val="2"/>
        </w:numPr>
        <w:spacing w:after="70" w:line="280"/>
      </w:pPr>
      <w:r>
        <w:rPr>
          <w:rFonts w:ascii="Calibri" w:cs="Calibri" w:eastAsia="Calibri" w:hAnsi="Calibri"/>
          <w:color w:val="0E1A1C"/>
          <w:sz w:val="21"/>
          <w:szCs w:val="21"/>
        </w:rPr>
        <w:t xml:space="preserve">De kalibratie mondeling afdoen. Zonder vastlegging is de herhaalmeting betekenisloos.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verschil tussen jullie scores was niet met bewijs op te lossen? Wat doe je daarmee in het rapport?</w:t>
            </w:r>
          </w:p>
        </w:tc>
      </w:tr>
    </w:tbl>
    <w:p>
      <w:pPr>
        <w:pStyle w:val="Heading2"/>
        <w:spacing w:after="140" w:before="340"/>
      </w:pPr>
      <w:r>
        <w:rPr>
          <w:rFonts w:ascii="Cambria" w:cs="Cambria" w:eastAsia="Cambria" w:hAnsi="Cambria"/>
          <w:b/>
          <w:bCs/>
          <w:color w:val="0E1A1C"/>
          <w:sz w:val="26"/>
          <w:szCs w:val="26"/>
        </w:rPr>
        <w:t xml:space="preserve">Opdracht 5 — Bewijs beoordelen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begrippenlijst herkend als document dat geen niveau-3-score draagt: laatste wijziging veertien maanden geleden, geen eigenaar.</w:t>
      </w:r>
    </w:p>
    <w:p>
      <w:pPr>
        <w:pStyle w:val="ListParagraph"/>
        <w:numPr>
          <w:ilvl w:val="0"/>
          <w:numId w:val="2"/>
        </w:numPr>
        <w:spacing w:after="70" w:line="280"/>
      </w:pPr>
      <w:r>
        <w:rPr>
          <w:rFonts w:ascii="Calibri" w:cs="Calibri" w:eastAsia="Calibri" w:hAnsi="Calibri"/>
          <w:color w:val="0E1A1C"/>
          <w:sz w:val="21"/>
          <w:szCs w:val="21"/>
        </w:rPr>
        <w:t xml:space="preserve">Het niet-vastgestelde charter herkend als schijnbewijs.</w:t>
      </w:r>
    </w:p>
    <w:p>
      <w:pPr>
        <w:pStyle w:val="ListParagraph"/>
        <w:numPr>
          <w:ilvl w:val="0"/>
          <w:numId w:val="2"/>
        </w:numPr>
        <w:spacing w:after="70" w:line="280"/>
      </w:pPr>
      <w:r>
        <w:rPr>
          <w:rFonts w:ascii="Calibri" w:cs="Calibri" w:eastAsia="Calibri" w:hAnsi="Calibri"/>
          <w:color w:val="0E1A1C"/>
          <w:sz w:val="21"/>
          <w:szCs w:val="21"/>
        </w:rPr>
        <w:t xml:space="preserve">Per stuk het hoogste scoreniveau benoemd dat het kan dragen.</w:t>
      </w:r>
    </w:p>
    <w:p>
      <w:pPr>
        <w:pStyle w:val="ListParagraph"/>
        <w:numPr>
          <w:ilvl w:val="0"/>
          <w:numId w:val="2"/>
        </w:numPr>
        <w:spacing w:after="70" w:line="280"/>
      </w:pPr>
      <w:r>
        <w:rPr>
          <w:rFonts w:ascii="Calibri" w:cs="Calibri" w:eastAsia="Calibri" w:hAnsi="Calibri"/>
          <w:color w:val="0E1A1C"/>
          <w:sz w:val="21"/>
          <w:szCs w:val="21"/>
        </w:rPr>
        <w:t xml:space="preserve">Een uitleg geformuleerd die het document waardeert en toch de conclusie draagt.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Documentbewijs automatisch als sterk beoordelen. Bestaan is geen gebruik.</w:t>
      </w:r>
    </w:p>
    <w:p>
      <w:pPr>
        <w:pStyle w:val="ListParagraph"/>
        <w:numPr>
          <w:ilvl w:val="0"/>
          <w:numId w:val="2"/>
        </w:numPr>
        <w:spacing w:after="70" w:line="280"/>
      </w:pPr>
      <w:r>
        <w:rPr>
          <w:rFonts w:ascii="Calibri" w:cs="Calibri" w:eastAsia="Calibri" w:hAnsi="Calibri"/>
          <w:color w:val="0E1A1C"/>
          <w:sz w:val="21"/>
          <w:szCs w:val="21"/>
        </w:rPr>
        <w:t xml:space="preserve">De twee schijnbewijzen missen; dat gebeurt bij ongeveer de helft van de groep.</w:t>
      </w:r>
    </w:p>
    <w:p>
      <w:pPr>
        <w:pStyle w:val="ListParagraph"/>
        <w:numPr>
          <w:ilvl w:val="0"/>
          <w:numId w:val="2"/>
        </w:numPr>
        <w:spacing w:after="70" w:line="280"/>
      </w:pPr>
      <w:r>
        <w:rPr>
          <w:rFonts w:ascii="Calibri" w:cs="Calibri" w:eastAsia="Calibri" w:hAnsi="Calibri"/>
          <w:color w:val="0E1A1C"/>
          <w:sz w:val="21"/>
          <w:szCs w:val="21"/>
        </w:rPr>
        <w:t xml:space="preserve">De uitleg formuleren als afwijzing. De respondent moet volgende keer nog willen praten.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 vertel je iemand die drie jaar aan een begrippenlijst werkte dat hij geen niveau 3 oplevert?</w:t>
            </w:r>
          </w:p>
        </w:tc>
      </w:tr>
    </w:tbl>
    <w:p>
      <w:pPr>
        <w:pStyle w:val="Heading2"/>
        <w:spacing w:after="140" w:before="340"/>
      </w:pPr>
      <w:r>
        <w:rPr>
          <w:rFonts w:ascii="Cambria" w:cs="Cambria" w:eastAsia="Cambria" w:hAnsi="Cambria"/>
          <w:b/>
          <w:bCs/>
          <w:color w:val="0E1A1C"/>
          <w:sz w:val="26"/>
          <w:szCs w:val="26"/>
        </w:rPr>
        <w:t xml:space="preserve">Opdracht 6 — Ambitieniveau bepalen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Drie scenario’s die daadwerkelijk verschillen in ambitie, niet in verpakking.</w:t>
      </w:r>
    </w:p>
    <w:p>
      <w:pPr>
        <w:pStyle w:val="ListParagraph"/>
        <w:numPr>
          <w:ilvl w:val="0"/>
          <w:numId w:val="2"/>
        </w:numPr>
        <w:spacing w:after="70" w:line="280"/>
      </w:pPr>
      <w:r>
        <w:rPr>
          <w:rFonts w:ascii="Calibri" w:cs="Calibri" w:eastAsia="Calibri" w:hAnsi="Calibri"/>
          <w:color w:val="0E1A1C"/>
          <w:sz w:val="21"/>
          <w:szCs w:val="21"/>
        </w:rPr>
        <w:t xml:space="preserve">Per gebied benoemd wat er misgaat bij niets doen — dat is het argument, niet de score.</w:t>
      </w:r>
    </w:p>
    <w:p>
      <w:pPr>
        <w:pStyle w:val="ListParagraph"/>
        <w:numPr>
          <w:ilvl w:val="0"/>
          <w:numId w:val="2"/>
        </w:numPr>
        <w:spacing w:after="70" w:line="280"/>
      </w:pPr>
      <w:r>
        <w:rPr>
          <w:rFonts w:ascii="Calibri" w:cs="Calibri" w:eastAsia="Calibri" w:hAnsi="Calibri"/>
          <w:color w:val="0E1A1C"/>
          <w:sz w:val="21"/>
          <w:szCs w:val="21"/>
        </w:rPr>
        <w:t xml:space="preserve">Realistische inspanningsschattingen: 1 naar 2 in maanden, 3 naar 4 in jaren.</w:t>
      </w:r>
    </w:p>
    <w:p>
      <w:pPr>
        <w:pStyle w:val="ListParagraph"/>
        <w:numPr>
          <w:ilvl w:val="0"/>
          <w:numId w:val="2"/>
        </w:numPr>
        <w:spacing w:after="70" w:line="280"/>
      </w:pPr>
      <w:r>
        <w:rPr>
          <w:rFonts w:ascii="Calibri" w:cs="Calibri" w:eastAsia="Calibri" w:hAnsi="Calibri"/>
          <w:color w:val="0E1A1C"/>
          <w:sz w:val="21"/>
          <w:szCs w:val="21"/>
        </w:rPr>
        <w:t xml:space="preserve">Restrisico ten opzichte van de DNB-bevinding expliciet per scenario.</w:t>
      </w:r>
    </w:p>
    <w:p>
      <w:pPr>
        <w:pStyle w:val="ListParagraph"/>
        <w:numPr>
          <w:ilvl w:val="0"/>
          <w:numId w:val="2"/>
        </w:numPr>
        <w:spacing w:after="70" w:line="280"/>
      </w:pPr>
      <w:r>
        <w:rPr>
          <w:rFonts w:ascii="Calibri" w:cs="Calibri" w:eastAsia="Calibri" w:hAnsi="Calibri"/>
          <w:color w:val="0E1A1C"/>
          <w:sz w:val="21"/>
          <w:szCs w:val="21"/>
        </w:rPr>
        <w:t xml:space="preserve">Vastgelegd wat er bewust níét gebeurt.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Eén advies in plaats van drie scenario’s. De opdrachtgever kiest, jij maakt de keuze scherp.</w:t>
      </w:r>
    </w:p>
    <w:p>
      <w:pPr>
        <w:pStyle w:val="ListParagraph"/>
        <w:numPr>
          <w:ilvl w:val="0"/>
          <w:numId w:val="2"/>
        </w:numPr>
        <w:spacing w:after="70" w:line="280"/>
      </w:pPr>
      <w:r>
        <w:rPr>
          <w:rFonts w:ascii="Calibri" w:cs="Calibri" w:eastAsia="Calibri" w:hAnsi="Calibri"/>
          <w:color w:val="0E1A1C"/>
          <w:sz w:val="21"/>
          <w:szCs w:val="21"/>
        </w:rPr>
        <w:t xml:space="preserve">Ambitie op niveau 5. Vraag wat dat kost en of het nodig is.</w:t>
      </w:r>
    </w:p>
    <w:p>
      <w:pPr>
        <w:pStyle w:val="ListParagraph"/>
        <w:numPr>
          <w:ilvl w:val="0"/>
          <w:numId w:val="2"/>
        </w:numPr>
        <w:spacing w:after="70" w:line="280"/>
      </w:pPr>
      <w:r>
        <w:rPr>
          <w:rFonts w:ascii="Calibri" w:cs="Calibri" w:eastAsia="Calibri" w:hAnsi="Calibri"/>
          <w:color w:val="0E1A1C"/>
          <w:sz w:val="21"/>
          <w:szCs w:val="21"/>
        </w:rPr>
        <w:t xml:space="preserve">Het gevolg van niets doen weglaten; dan is er geen urgentie.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scenario zou jij adviseren, en welk verwacht je dat de CFO kiest? Wat zegt het verschil?</w:t>
            </w:r>
          </w:p>
        </w:tc>
      </w:tr>
    </w:tbl>
    <w:p>
      <w:pPr>
        <w:pStyle w:val="Heading2"/>
        <w:spacing w:after="140" w:before="340"/>
      </w:pPr>
      <w:r>
        <w:rPr>
          <w:rFonts w:ascii="Cambria" w:cs="Cambria" w:eastAsia="Cambria" w:hAnsi="Cambria"/>
          <w:b/>
          <w:bCs/>
          <w:color w:val="0E1A1C"/>
          <w:sz w:val="26"/>
          <w:szCs w:val="26"/>
        </w:rPr>
        <w:t xml:space="preserve">Opdracht 7 — De assessmentrapportage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Scope, respondenten, periode én wat niet is gemeten, expliciet vooraan.</w:t>
      </w:r>
    </w:p>
    <w:p>
      <w:pPr>
        <w:pStyle w:val="ListParagraph"/>
        <w:numPr>
          <w:ilvl w:val="0"/>
          <w:numId w:val="2"/>
        </w:numPr>
        <w:spacing w:after="70" w:line="280"/>
      </w:pPr>
      <w:r>
        <w:rPr>
          <w:rFonts w:ascii="Calibri" w:cs="Calibri" w:eastAsia="Calibri" w:hAnsi="Calibri"/>
          <w:color w:val="0E1A1C"/>
          <w:sz w:val="21"/>
          <w:szCs w:val="21"/>
        </w:rPr>
        <w:t xml:space="preserve">Scoringsdefinities letterlijk opgenomen.</w:t>
      </w:r>
    </w:p>
    <w:p>
      <w:pPr>
        <w:pStyle w:val="ListParagraph"/>
        <w:numPr>
          <w:ilvl w:val="0"/>
          <w:numId w:val="2"/>
        </w:numPr>
        <w:spacing w:after="70" w:line="280"/>
      </w:pPr>
      <w:r>
        <w:rPr>
          <w:rFonts w:ascii="Calibri" w:cs="Calibri" w:eastAsia="Calibri" w:hAnsi="Calibri"/>
          <w:color w:val="0E1A1C"/>
          <w:sz w:val="21"/>
          <w:szCs w:val="21"/>
        </w:rPr>
        <w:t xml:space="preserve">Per score het zwaarste bewijs benoemd.</w:t>
      </w:r>
    </w:p>
    <w:p>
      <w:pPr>
        <w:pStyle w:val="ListParagraph"/>
        <w:numPr>
          <w:ilvl w:val="0"/>
          <w:numId w:val="2"/>
        </w:numPr>
        <w:spacing w:after="70" w:line="280"/>
      </w:pPr>
      <w:r>
        <w:rPr>
          <w:rFonts w:ascii="Calibri" w:cs="Calibri" w:eastAsia="Calibri" w:hAnsi="Calibri"/>
          <w:color w:val="0E1A1C"/>
          <w:sz w:val="21"/>
          <w:szCs w:val="21"/>
        </w:rPr>
        <w:t xml:space="preserve">Spreiding gerapporteerd waar die groot was.</w:t>
      </w:r>
    </w:p>
    <w:p>
      <w:pPr>
        <w:pStyle w:val="ListParagraph"/>
        <w:numPr>
          <w:ilvl w:val="0"/>
          <w:numId w:val="2"/>
        </w:numPr>
        <w:spacing w:after="70" w:line="280"/>
      </w:pPr>
      <w:r>
        <w:rPr>
          <w:rFonts w:ascii="Calibri" w:cs="Calibri" w:eastAsia="Calibri" w:hAnsi="Calibri"/>
          <w:color w:val="0E1A1C"/>
          <w:sz w:val="21"/>
          <w:szCs w:val="21"/>
        </w:rPr>
        <w:t xml:space="preserve">Maximaal vijf bevindingen.</w:t>
      </w:r>
    </w:p>
    <w:p>
      <w:pPr>
        <w:pStyle w:val="ListParagraph"/>
        <w:numPr>
          <w:ilvl w:val="0"/>
          <w:numId w:val="2"/>
        </w:numPr>
        <w:spacing w:after="70" w:line="280"/>
      </w:pPr>
      <w:r>
        <w:rPr>
          <w:rFonts w:ascii="Calibri" w:cs="Calibri" w:eastAsia="Calibri" w:hAnsi="Calibri"/>
          <w:color w:val="0E1A1C"/>
          <w:sz w:val="21"/>
          <w:szCs w:val="21"/>
        </w:rPr>
        <w:t xml:space="preserve">Een gevraagd besluit met naam en datum.</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Eindigen bij het spinnenweb. Dat nodigt uit tot een discussie over de scores.</w:t>
      </w:r>
    </w:p>
    <w:p>
      <w:pPr>
        <w:pStyle w:val="ListParagraph"/>
        <w:numPr>
          <w:ilvl w:val="0"/>
          <w:numId w:val="2"/>
        </w:numPr>
        <w:spacing w:after="70" w:line="280"/>
      </w:pPr>
      <w:r>
        <w:rPr>
          <w:rFonts w:ascii="Calibri" w:cs="Calibri" w:eastAsia="Calibri" w:hAnsi="Calibri"/>
          <w:color w:val="0E1A1C"/>
          <w:sz w:val="21"/>
          <w:szCs w:val="21"/>
        </w:rPr>
        <w:t xml:space="preserve">Twintig bevindingen. Kiezen is hier net zo'n beoordeeld onderdeel als in de capstone.</w:t>
      </w:r>
    </w:p>
    <w:p>
      <w:pPr>
        <w:pStyle w:val="ListParagraph"/>
        <w:numPr>
          <w:ilvl w:val="0"/>
          <w:numId w:val="2"/>
        </w:numPr>
        <w:spacing w:after="70" w:line="280"/>
      </w:pPr>
      <w:r>
        <w:rPr>
          <w:rFonts w:ascii="Calibri" w:cs="Calibri" w:eastAsia="Calibri" w:hAnsi="Calibri"/>
          <w:color w:val="0E1A1C"/>
          <w:sz w:val="21"/>
          <w:szCs w:val="21"/>
        </w:rPr>
        <w:t xml:space="preserve">Aanbevelingen die niet uit een bevinding van deze meting volgen.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Waar zou een opdrachtgever in jouw rapport gaan discussiëren in plaats van beslissen?</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Waarom is het DMBOK geen assessmentraamwerk?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beschrijft kennisgebieden, geen volwassenheidsniveaus met scoringscriteria.</w:t>
      </w:r>
    </w:p>
    <w:p>
      <w:pPr>
        <w:spacing w:after="40" w:line="275"/>
        <w:ind w:left="420"/>
      </w:pPr>
      <w:r>
        <w:rPr>
          <w:rFonts w:ascii="Calibri" w:cs="Calibri" w:eastAsia="Calibri" w:hAnsi="Calibri"/>
          <w:color w:val="5F7375"/>
          <w:sz w:val="19"/>
          <w:szCs w:val="19"/>
        </w:rPr>
        <w:t xml:space="preserve">Wie op het DMBOK scoort, bedenkt zijn eigen schaal. Dat mag, mits je het zegt en de schaal expliciet maakt.</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Een respondent zegt: "wij hebben een begrippenlijst." Welk bewijsniveau is dit?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Uitspraak</w:t>
      </w:r>
    </w:p>
    <w:p>
      <w:pPr>
        <w:spacing w:after="40" w:line="275"/>
        <w:ind w:left="420"/>
      </w:pPr>
      <w:r>
        <w:rPr>
          <w:rFonts w:ascii="Calibri" w:cs="Calibri" w:eastAsia="Calibri" w:hAnsi="Calibri"/>
          <w:color w:val="5F7375"/>
          <w:sz w:val="19"/>
          <w:szCs w:val="19"/>
        </w:rPr>
        <w:t xml:space="preserve">Een uitspraak is een bron, geen bewijs. Vraag om het te zien.</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Welk bewijsniveau is minimaal nodig voor een score op niveau 4?</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Waarneming</w:t>
      </w:r>
    </w:p>
    <w:p>
      <w:pPr>
        <w:spacing w:after="40" w:line="275"/>
        <w:ind w:left="420"/>
      </w:pPr>
      <w:r>
        <w:rPr>
          <w:rFonts w:ascii="Calibri" w:cs="Calibri" w:eastAsia="Calibri" w:hAnsi="Calibri"/>
          <w:color w:val="5F7375"/>
          <w:sz w:val="19"/>
          <w:szCs w:val="19"/>
        </w:rPr>
        <w:t xml:space="preserve">Niveau 4 betekent gemeten en bijgestuurd; dat moet je in gebruik kunnen zien.</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Twee assessoren verschillen één niveau op hetzelfde gebied. Wat doe je?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laagste kiezen en de spreiding noteren.</w:t>
      </w:r>
    </w:p>
    <w:p>
      <w:pPr>
        <w:spacing w:after="40" w:line="275"/>
        <w:ind w:left="420"/>
      </w:pPr>
      <w:r>
        <w:rPr>
          <w:rFonts w:ascii="Calibri" w:cs="Calibri" w:eastAsia="Calibri" w:hAnsi="Calibri"/>
          <w:color w:val="5F7375"/>
          <w:sz w:val="19"/>
          <w:szCs w:val="19"/>
        </w:rPr>
        <w:t xml:space="preserve">Middelen verbergt informatie; de spreiding is zelf een bevinding.</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Welke systematische afwijking komt bij interne assessoren voor?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Ze scoren structureel hoger.</w:t>
      </w:r>
    </w:p>
    <w:p>
      <w:pPr>
        <w:spacing w:after="40" w:line="275"/>
        <w:ind w:left="420"/>
      </w:pPr>
      <w:r>
        <w:rPr>
          <w:rFonts w:ascii="Calibri" w:cs="Calibri" w:eastAsia="Calibri" w:hAnsi="Calibri"/>
          <w:color w:val="5F7375"/>
          <w:sz w:val="19"/>
          <w:szCs w:val="19"/>
        </w:rPr>
        <w:t xml:space="preserve">Kennis van de intenties kleurt de waarneming van de praktijk.</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Wat doe je met een capability die buiten de scope van de opdracht valt?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Vastleggen dat je hem niet hebt gemeten</w:t>
      </w:r>
    </w:p>
    <w:p>
      <w:pPr>
        <w:spacing w:after="40" w:line="275"/>
        <w:ind w:left="420"/>
      </w:pPr>
      <w:r>
        <w:rPr>
          <w:rFonts w:ascii="Calibri" w:cs="Calibri" w:eastAsia="Calibri" w:hAnsi="Calibri"/>
          <w:color w:val="5F7375"/>
          <w:sz w:val="19"/>
          <w:szCs w:val="19"/>
        </w:rPr>
        <w:t xml:space="preserve">Een niet-gemeten gebied is iets anders dan een gebied dat slecht scoort.</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Waarom vraag je niet "hoe volwassen is jullie datakwaliteitsbeheer?"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Respondenten geven een oordeel over de organisatie, meestal tussen drie en vier, en dat levert niets op.</w:t>
      </w:r>
    </w:p>
    <w:p>
      <w:pPr>
        <w:spacing w:after="40" w:line="275"/>
        <w:ind w:left="420"/>
      </w:pPr>
      <w:r>
        <w:rPr>
          <w:rFonts w:ascii="Calibri" w:cs="Calibri" w:eastAsia="Calibri" w:hAnsi="Calibri"/>
          <w:color w:val="5F7375"/>
          <w:sz w:val="19"/>
          <w:szCs w:val="19"/>
        </w:rPr>
        <w:t xml:space="preserve">Vraag naar gedrag en naar het laatste concrete geval.</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Welk raamwerk vereist lidmaatschap van de EDM Association?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DCAM</w:t>
      </w:r>
    </w:p>
    <w:p>
      <w:pPr>
        <w:spacing w:after="40" w:line="275"/>
        <w:ind w:left="420"/>
      </w:pPr>
      <w:r>
        <w:rPr>
          <w:rFonts w:ascii="Calibri" w:cs="Calibri" w:eastAsia="Calibri" w:hAnsi="Calibri"/>
          <w:color w:val="5F7375"/>
          <w:sz w:val="19"/>
          <w:szCs w:val="19"/>
        </w:rPr>
        <w:t xml:space="preserve">Framework en training zijn exclusief voor leden — dat is een organisatiebesluit met kosten.</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Wat maakt een assessmentrapportage bruikbaar voor een bestuur?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Drie scenario’s met kosten, doorlooptijd en het gevolg van niets doen</w:t>
      </w:r>
    </w:p>
    <w:p>
      <w:pPr>
        <w:spacing w:after="40" w:line="275"/>
        <w:ind w:left="420"/>
      </w:pPr>
      <w:r>
        <w:rPr>
          <w:rFonts w:ascii="Calibri" w:cs="Calibri" w:eastAsia="Calibri" w:hAnsi="Calibri"/>
          <w:color w:val="5F7375"/>
          <w:sz w:val="19"/>
          <w:szCs w:val="19"/>
        </w:rPr>
        <w:t xml:space="preserve">Scores nodigen uit tot discussie; scenario’s nodigen uit tot een keuze.</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Waarom neem je respondentnamen niet op bij individuele uitspraken?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Anders krijg je bij de volgende meting geen eerlijke antwoorden meer.</w:t>
      </w:r>
    </w:p>
    <w:p>
      <w:pPr>
        <w:spacing w:after="40" w:line="275"/>
        <w:ind w:left="420"/>
      </w:pPr>
      <w:r>
        <w:rPr>
          <w:rFonts w:ascii="Calibri" w:cs="Calibri" w:eastAsia="Calibri" w:hAnsi="Calibri"/>
          <w:color w:val="5F7375"/>
          <w:sz w:val="19"/>
          <w:szCs w:val="19"/>
        </w:rPr>
        <w:t xml:space="preserve">Anonimiteit binnen het rapport beschermt de kwaliteit van toekomstige metingen.</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Wat is een realistisch ambitieniveau voor de meeste organisaties?</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Niveau 3 op de kritieke gebieden en 2 op de rest</w:t>
      </w:r>
    </w:p>
    <w:p>
      <w:pPr>
        <w:spacing w:after="40" w:line="275"/>
        <w:ind w:left="420"/>
      </w:pPr>
      <w:r>
        <w:rPr>
          <w:rFonts w:ascii="Calibri" w:cs="Calibri" w:eastAsia="Calibri" w:hAnsi="Calibri"/>
          <w:color w:val="5F7375"/>
          <w:sz w:val="19"/>
          <w:szCs w:val="19"/>
        </w:rPr>
        <w:t xml:space="preserve">Ambitieus maar haalbaar; niveau 5 op alles is duur, zelden nodig en vrijwel nooit gehaald.</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Waarom scoren assessoren eerst onafhankelijk?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Samen scoren levert het oordeel van de dominantste persoon op.</w:t>
      </w:r>
    </w:p>
    <w:p>
      <w:pPr>
        <w:spacing w:after="40" w:line="275"/>
        <w:ind w:left="420"/>
      </w:pPr>
      <w:r>
        <w:rPr>
          <w:rFonts w:ascii="Calibri" w:cs="Calibri" w:eastAsia="Calibri" w:hAnsi="Calibri"/>
          <w:color w:val="5F7375"/>
          <w:sz w:val="19"/>
          <w:szCs w:val="19"/>
        </w:rPr>
        <w:t xml:space="preserve">Onafhankelijk scoren en daarna kalibreren maakt de verschillen zichtbaar in plaats van weggepraat.</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een volwassenheidsscore een meting of een onderhandelingsresultaat?</w:t>
      </w:r>
    </w:p>
    <w:p>
      <w:pPr>
        <w:pStyle w:val="ListParagraph"/>
        <w:numPr>
          <w:ilvl w:val="0"/>
          <w:numId w:val="3"/>
        </w:numPr>
        <w:spacing w:after="70" w:line="280"/>
      </w:pPr>
      <w:r>
        <w:rPr>
          <w:rFonts w:ascii="Calibri" w:cs="Calibri" w:eastAsia="Calibri" w:hAnsi="Calibri"/>
          <w:color w:val="0E1A1C"/>
          <w:sz w:val="21"/>
          <w:szCs w:val="21"/>
        </w:rPr>
        <w:t xml:space="preserve">Zou een externe assessor mogen weigeren een score te verhogen op verzoek van de opdrachtgever?</w:t>
      </w:r>
    </w:p>
    <w:p>
      <w:pPr>
        <w:pStyle w:val="ListParagraph"/>
        <w:numPr>
          <w:ilvl w:val="0"/>
          <w:numId w:val="3"/>
        </w:numPr>
        <w:spacing w:after="70" w:line="280"/>
      </w:pPr>
      <w:r>
        <w:rPr>
          <w:rFonts w:ascii="Calibri" w:cs="Calibri" w:eastAsia="Calibri" w:hAnsi="Calibri"/>
          <w:color w:val="0E1A1C"/>
          <w:sz w:val="21"/>
          <w:szCs w:val="21"/>
        </w:rPr>
        <w:t xml:space="preserve">Wat zegt het over een organisatie als niemand het assessment van drie jaar geleden kan terugvinden?</w:t>
      </w:r>
    </w:p>
    <w:p>
      <w:pPr>
        <w:pStyle w:val="ListParagraph"/>
        <w:numPr>
          <w:ilvl w:val="0"/>
          <w:numId w:val="3"/>
        </w:numPr>
        <w:spacing w:after="70" w:line="280"/>
      </w:pPr>
      <w:r>
        <w:rPr>
          <w:rFonts w:ascii="Calibri" w:cs="Calibri" w:eastAsia="Calibri" w:hAnsi="Calibri"/>
          <w:color w:val="0E1A1C"/>
          <w:sz w:val="21"/>
          <w:szCs w:val="21"/>
        </w:rPr>
        <w:t xml:space="preserve">Is aansluiten bij een bestaand raamwerk in de organisatie belangrijker dan het beste raamwerk kiezen?</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opdracht 6 uitbreiden met een vierde scenario dat de opdrachtgever expliciet niet wil horen.</w:t>
      </w:r>
    </w:p>
    <w:p>
      <w:pPr>
        <w:pStyle w:val="ListParagraph"/>
        <w:numPr>
          <w:ilvl w:val="0"/>
          <w:numId w:val="2"/>
        </w:numPr>
        <w:spacing w:after="70" w:line="280"/>
      </w:pPr>
      <w:r>
        <w:rPr>
          <w:rFonts w:ascii="Calibri" w:cs="Calibri" w:eastAsia="Calibri" w:hAnsi="Calibri"/>
          <w:color w:val="0E1A1C"/>
          <w:sz w:val="21"/>
          <w:szCs w:val="21"/>
        </w:rPr>
        <w:t xml:space="preserve">Vraag om de rapportage van opdracht 7 in te korten tot een bestuurlijke samenvatting van één pagina.</w:t>
      </w:r>
    </w:p>
    <w:p>
      <w:pPr>
        <w:pStyle w:val="ListParagraph"/>
        <w:numPr>
          <w:ilvl w:val="0"/>
          <w:numId w:val="2"/>
        </w:numPr>
        <w:spacing w:after="70" w:line="280"/>
      </w:pPr>
      <w:r>
        <w:rPr>
          <w:rFonts w:ascii="Calibri" w:cs="Calibri" w:eastAsia="Calibri" w:hAnsi="Calibri"/>
          <w:color w:val="0E1A1C"/>
          <w:sz w:val="21"/>
          <w:szCs w:val="21"/>
        </w:rPr>
        <w:t xml:space="preserve">Laat het interview van opdracht 3 nogmaals doen met een respondent die weigert mee te werken.</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opdracht 4 tot drie gebieden in plaats van zes.</w:t>
      </w:r>
    </w:p>
    <w:p>
      <w:pPr>
        <w:pStyle w:val="ListParagraph"/>
        <w:numPr>
          <w:ilvl w:val="0"/>
          <w:numId w:val="2"/>
        </w:numPr>
        <w:spacing w:after="70" w:line="280"/>
      </w:pPr>
      <w:r>
        <w:rPr>
          <w:rFonts w:ascii="Calibri" w:cs="Calibri" w:eastAsia="Calibri" w:hAnsi="Calibri"/>
          <w:color w:val="0E1A1C"/>
          <w:sz w:val="21"/>
          <w:szCs w:val="21"/>
        </w:rPr>
        <w:t xml:space="preserve">Geef bij opdracht 2 vijf voorbeeldvragen; de overige tien zijn dan de oefening.</w:t>
      </w:r>
    </w:p>
    <w:p>
      <w:pPr>
        <w:pStyle w:val="ListParagraph"/>
        <w:numPr>
          <w:ilvl w:val="0"/>
          <w:numId w:val="2"/>
        </w:numPr>
        <w:spacing w:after="70" w:line="280"/>
      </w:pPr>
      <w:r>
        <w:rPr>
          <w:rFonts w:ascii="Calibri" w:cs="Calibri" w:eastAsia="Calibri" w:hAnsi="Calibri"/>
          <w:color w:val="0E1A1C"/>
          <w:sz w:val="21"/>
          <w:szCs w:val="21"/>
        </w:rPr>
        <w:t xml:space="preserve">Laat opdracht 7 in duo schrijven.</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DCAM kennen voor het specialistexamen?"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Het specialistexamen Data Governance volgt het DMBOK. DCAM is praktijkkennis en komt in deel 24 uitgebreid terug.</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"Hoeveel interviews zijn genoeg?"</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Vier tot zes per domein. Daarna herhalen de antwoorden zich en levert een extra gesprek weinig meer op.</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"Mag ik zelf een schaal maken?"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 mits je hem expliciet opneemt in de rapportage. Wat niet mag is doen alsof hij uit een raamwerk komt.</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als de opdrachtgever de scores te laag vindt?"</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Herleid elk betwist punt naar het bewijs. Discussie over bewijs is productief; discussie over gevoel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11 — Frameworks in de praktijk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Frameworks in de praktijk — Docentenhandleiding</dc:title>
  <dc:creator>Ductus B.V.</dc:creator>
  <dc:description>Cursusmateriaal datamanagement, data-analyse en data governance</dc:description>
  <cp:lastModifiedBy>Un-named</cp:lastModifiedBy>
  <cp:revision>1</cp:revision>
  <dcterms:created xsi:type="dcterms:W3CDTF">2026-08-05T10:35:02.768Z</dcterms:created>
  <dcterms:modified xsi:type="dcterms:W3CDTF">2026-08-05T10:35:02.768Z</dcterms:modified>
</cp:coreProperties>
</file>

<file path=docProps/custom.xml><?xml version="1.0" encoding="utf-8"?>
<Properties xmlns="http://schemas.openxmlformats.org/officeDocument/2006/custom-properties" xmlns:vt="http://schemas.openxmlformats.org/officeDocument/2006/docPropsVTypes"/>
</file>