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11</w:t>
      </w:r>
    </w:p>
    <w:p>
      <w:pPr>
        <w:spacing w:after="120"/>
      </w:pPr>
      <w:r>
        <w:rPr>
          <w:rFonts w:ascii="Cambria" w:cs="Cambria" w:eastAsia="Cambria" w:hAnsi="Cambria"/>
          <w:b/>
          <w:bCs/>
          <w:color w:val="0E1A1C"/>
          <w:sz w:val="56"/>
          <w:szCs w:val="56"/>
        </w:rPr>
        <w:t xml:space="preserve">Frameworks in de praktijk</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7 uur (4 uur klassikaal, 3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DMBOK2 en een volwassenheidsmeting die je zelf ooit hebt gezien of ondergaan</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Niveau 2 werkt anders dan niveau 1. De opdrachten leveren geen oefening op maar een artefact dat je bij een opdrachtgever zou kunnen inbrengen. Bewaar alles: de capstone van deel 21 bouwt hierop voort, en dat portfoliostuk telt mee bij de ervaringsbeoordeling voor Master.</w:t>
      </w:r>
    </w:p>
    <w:p>
      <w:pPr>
        <w:spacing w:after="140" w:line="288"/>
      </w:pPr>
      <w:r>
        <w:rPr>
          <w:rFonts w:ascii="Calibri" w:cs="Calibri" w:eastAsia="Calibri" w:hAnsi="Calibri"/>
          <w:color w:val="0E1A1C"/>
          <w:sz w:val="21"/>
          <w:szCs w:val="21"/>
        </w:rPr>
        <w:t xml:space="preserve">Opdracht 1 en 2 maak je vóór de klassikale sessie. Opdracht 3 tot en met 6 doen we klassikaal; opdracht 3 is een rollenspel waarin je zowel interviewer als respondent bent. Opdracht 7 rond je zelfstandig af.</w:t>
      </w:r>
    </w:p>
    <w:p>
      <w:pPr>
        <w:spacing w:after="140" w:line="288"/>
      </w:pPr>
      <w:r>
        <w:rPr>
          <w:rFonts w:ascii="Calibri" w:cs="Calibri" w:eastAsia="Calibri" w:hAnsi="Calibri"/>
          <w:color w:val="0E1A1C"/>
          <w:sz w:val="21"/>
          <w:szCs w:val="21"/>
        </w:rPr>
        <w:t xml:space="preserve">De casus is Meridiaan Pensioen N.V. — dezelfde organisatie als in niveau 1, nu vanuit de rol van externe adviseur.</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Frameworkvergelijking</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Interviewvragen ontwerpen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Het assessmentinterview</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Scoren en kalibreren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Bewijs beoordelen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Ambitieniveau bepalen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De assessmentrapportage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45 minuten</w:t>
      </w:r>
    </w:p>
    <w:p>
      <w:pPr>
        <w:spacing w:after="140"/>
      </w:pPr>
      <w:r>
        <w:rPr>
          <w:rFonts w:ascii="Cambria" w:cs="Cambria" w:eastAsia="Cambria" w:hAnsi="Cambria"/>
          <w:b/>
          <w:bCs/>
          <w:color w:val="1B4A48"/>
          <w:sz w:val="30"/>
          <w:szCs w:val="30"/>
        </w:rPr>
        <w:t xml:space="preserve">Frameworkvergelijking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raamwerk kiezen voor Meridiaan en de keuze verdedigen tegenover de andere vijf.</w:t>
      </w:r>
    </w:p>
    <w:p>
      <w:pPr>
        <w:pStyle w:val="ListParagraph"/>
        <w:numPr>
          <w:ilvl w:val="0"/>
          <w:numId w:val="2"/>
        </w:numPr>
        <w:spacing w:after="70" w:line="280"/>
      </w:pPr>
      <w:r>
        <w:rPr>
          <w:rFonts w:ascii="Calibri" w:cs="Calibri" w:eastAsia="Calibri" w:hAnsi="Calibri"/>
          <w:color w:val="0E1A1C"/>
          <w:sz w:val="21"/>
          <w:szCs w:val="21"/>
        </w:rPr>
        <w:t xml:space="preserve">Scoor Meridiaan op de vijf keuzecriteria uit hoofdstuk 3 van de reader.</w:t>
      </w:r>
    </w:p>
    <w:p>
      <w:pPr>
        <w:pStyle w:val="ListParagraph"/>
        <w:numPr>
          <w:ilvl w:val="0"/>
          <w:numId w:val="2"/>
        </w:numPr>
        <w:spacing w:after="70" w:line="280"/>
      </w:pPr>
      <w:r>
        <w:rPr>
          <w:rFonts w:ascii="Calibri" w:cs="Calibri" w:eastAsia="Calibri" w:hAnsi="Calibri"/>
          <w:color w:val="0E1A1C"/>
          <w:sz w:val="21"/>
          <w:szCs w:val="21"/>
        </w:rPr>
        <w:t xml:space="preserve">Kies één raamwerk en verantwoord per afgewezen raamwerk in één zin waarom het niet past.</w:t>
      </w:r>
    </w:p>
    <w:p>
      <w:pPr>
        <w:pStyle w:val="ListParagraph"/>
        <w:numPr>
          <w:ilvl w:val="0"/>
          <w:numId w:val="2"/>
        </w:numPr>
        <w:spacing w:after="70" w:line="280"/>
      </w:pPr>
      <w:r>
        <w:rPr>
          <w:rFonts w:ascii="Calibri" w:cs="Calibri" w:eastAsia="Calibri" w:hAnsi="Calibri"/>
          <w:color w:val="0E1A1C"/>
          <w:sz w:val="21"/>
          <w:szCs w:val="21"/>
        </w:rPr>
        <w:t xml:space="preserve">Bepaal wat je uit het gekozen raamwerk snoeit, en wat je onder geen beding snoeit.</w:t>
      </w:r>
    </w:p>
    <w:p>
      <w:pPr>
        <w:pStyle w:val="ListParagraph"/>
        <w:numPr>
          <w:ilvl w:val="0"/>
          <w:numId w:val="2"/>
        </w:numPr>
        <w:spacing w:after="70" w:line="280"/>
      </w:pPr>
      <w:r>
        <w:rPr>
          <w:rFonts w:ascii="Calibri" w:cs="Calibri" w:eastAsia="Calibri" w:hAnsi="Calibri"/>
          <w:color w:val="0E1A1C"/>
          <w:sz w:val="21"/>
          <w:szCs w:val="21"/>
        </w:rPr>
        <w:t xml:space="preserve">Beschrijf hoe je het antwoord formuleert op de vraag "waarom niet DCAM?" van de CFO.</w:t>
      </w:r>
    </w:p>
    <w:p>
      <w:pPr>
        <w:pStyle w:val="ListParagraph"/>
        <w:numPr>
          <w:ilvl w:val="0"/>
          <w:numId w:val="2"/>
        </w:numPr>
        <w:spacing w:after="70" w:line="280"/>
      </w:pPr>
      <w:r>
        <w:rPr>
          <w:rFonts w:ascii="Calibri" w:cs="Calibri" w:eastAsia="Calibri" w:hAnsi="Calibri"/>
          <w:color w:val="0E1A1C"/>
          <w:sz w:val="21"/>
          <w:szCs w:val="21"/>
        </w:rPr>
        <w:t xml:space="preserve">Bepaal wat er verandert aan je keuze als Meridiaan wél lid wordt van de EDM Association.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Criteriumscore, keuze met vijf afwijzingen, snoeiplan en één voorbereid antwoord.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draagkrachtvraag botst hier met de aantoonbaarheidsvraag. Een goed antwoord erkent die spanning in plaats van hem weg te schrijven.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40 minuten</w:t>
      </w:r>
    </w:p>
    <w:p>
      <w:pPr>
        <w:spacing w:after="140"/>
      </w:pPr>
      <w:r>
        <w:rPr>
          <w:rFonts w:ascii="Cambria" w:cs="Cambria" w:eastAsia="Cambria" w:hAnsi="Cambria"/>
          <w:b/>
          <w:bCs/>
          <w:color w:val="1B4A48"/>
          <w:sz w:val="30"/>
          <w:szCs w:val="30"/>
        </w:rPr>
        <w:t xml:space="preserve">Interviewvragen ontwerpen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Vragen formuleren die bewijs opleveren in plaats van meningen.</w:t>
      </w:r>
    </w:p>
    <w:p>
      <w:pPr>
        <w:pStyle w:val="ListParagraph"/>
        <w:numPr>
          <w:ilvl w:val="0"/>
          <w:numId w:val="2"/>
        </w:numPr>
        <w:spacing w:after="70" w:line="280"/>
      </w:pPr>
      <w:r>
        <w:rPr>
          <w:rFonts w:ascii="Calibri" w:cs="Calibri" w:eastAsia="Calibri" w:hAnsi="Calibri"/>
          <w:color w:val="0E1A1C"/>
          <w:sz w:val="21"/>
          <w:szCs w:val="21"/>
        </w:rPr>
        <w:t xml:space="preserve">Kies drie kennisgebieden die je bij Meridiaan wilt meten.</w:t>
      </w:r>
    </w:p>
    <w:p>
      <w:pPr>
        <w:pStyle w:val="ListParagraph"/>
        <w:numPr>
          <w:ilvl w:val="0"/>
          <w:numId w:val="2"/>
        </w:numPr>
        <w:spacing w:after="70" w:line="280"/>
      </w:pPr>
      <w:r>
        <w:rPr>
          <w:rFonts w:ascii="Calibri" w:cs="Calibri" w:eastAsia="Calibri" w:hAnsi="Calibri"/>
          <w:color w:val="0E1A1C"/>
          <w:sz w:val="21"/>
          <w:szCs w:val="21"/>
        </w:rPr>
        <w:t xml:space="preserve">Schrijf per gebied vijf vragen die naar gedrag en naar het laatste concrete geval vragen.</w:t>
      </w:r>
    </w:p>
    <w:p>
      <w:pPr>
        <w:pStyle w:val="ListParagraph"/>
        <w:numPr>
          <w:ilvl w:val="0"/>
          <w:numId w:val="2"/>
        </w:numPr>
        <w:spacing w:after="70" w:line="280"/>
      </w:pPr>
      <w:r>
        <w:rPr>
          <w:rFonts w:ascii="Calibri" w:cs="Calibri" w:eastAsia="Calibri" w:hAnsi="Calibri"/>
          <w:color w:val="0E1A1C"/>
          <w:sz w:val="21"/>
          <w:szCs w:val="21"/>
        </w:rPr>
        <w:t xml:space="preserve">Herschrijf drie vragen die je onbewust als scorevraag had geformuleerd.</w:t>
      </w:r>
    </w:p>
    <w:p>
      <w:pPr>
        <w:pStyle w:val="ListParagraph"/>
        <w:numPr>
          <w:ilvl w:val="0"/>
          <w:numId w:val="2"/>
        </w:numPr>
        <w:spacing w:after="70" w:line="280"/>
      </w:pPr>
      <w:r>
        <w:rPr>
          <w:rFonts w:ascii="Calibri" w:cs="Calibri" w:eastAsia="Calibri" w:hAnsi="Calibri"/>
          <w:color w:val="0E1A1C"/>
          <w:sz w:val="21"/>
          <w:szCs w:val="21"/>
        </w:rPr>
        <w:t xml:space="preserve">Bepaal per vraag welk bewijsniveau je hoopt te bereiken: uitspraak, document of waarneming.</w:t>
      </w:r>
    </w:p>
    <w:p>
      <w:pPr>
        <w:pStyle w:val="ListParagraph"/>
        <w:numPr>
          <w:ilvl w:val="0"/>
          <w:numId w:val="2"/>
        </w:numPr>
        <w:spacing w:after="70" w:line="280"/>
      </w:pPr>
      <w:r>
        <w:rPr>
          <w:rFonts w:ascii="Calibri" w:cs="Calibri" w:eastAsia="Calibri" w:hAnsi="Calibri"/>
          <w:color w:val="0E1A1C"/>
          <w:sz w:val="21"/>
          <w:szCs w:val="21"/>
        </w:rPr>
        <w:t xml:space="preserve">Formuleer drie doorvraagzinnen voor het moment dat een respondent in algemeenheden blijft hangen.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Vijftien vragen met beoogd bewijsniveau, plus drie doorvraagzinnen.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"Kunt u me dat laten zien?" is de doorvraagzin die het meeste oplevert. Bedenk er nog twee die net zo beleefd zijn.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60 minuten</w:t>
      </w:r>
    </w:p>
    <w:p>
      <w:pPr>
        <w:spacing w:after="140"/>
      </w:pPr>
      <w:r>
        <w:rPr>
          <w:rFonts w:ascii="Cambria" w:cs="Cambria" w:eastAsia="Cambria" w:hAnsi="Cambria"/>
          <w:b/>
          <w:bCs/>
          <w:color w:val="1B4A48"/>
          <w:sz w:val="30"/>
          <w:szCs w:val="30"/>
        </w:rPr>
        <w:t xml:space="preserve">Het assessmentinterview</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interview voeren waarin je bewijs verzamelt, en ervaren hoe het aan de andere kant voelt.</w:t>
      </w:r>
    </w:p>
    <w:p>
      <w:pPr>
        <w:pStyle w:val="ListParagraph"/>
        <w:numPr>
          <w:ilvl w:val="0"/>
          <w:numId w:val="2"/>
        </w:numPr>
        <w:spacing w:after="70" w:line="280"/>
      </w:pPr>
      <w:r>
        <w:rPr>
          <w:rFonts w:ascii="Calibri" w:cs="Calibri" w:eastAsia="Calibri" w:hAnsi="Calibri"/>
          <w:color w:val="0E1A1C"/>
          <w:sz w:val="21"/>
          <w:szCs w:val="21"/>
        </w:rPr>
        <w:t xml:space="preserve">Je voert twee interviews van twintig minuten: één als assessor, één als respondent. De rolbeschrijving krijg je van de docent.</w:t>
      </w:r>
    </w:p>
    <w:p>
      <w:pPr>
        <w:pStyle w:val="ListParagraph"/>
        <w:numPr>
          <w:ilvl w:val="0"/>
          <w:numId w:val="2"/>
        </w:numPr>
        <w:spacing w:after="70" w:line="280"/>
      </w:pPr>
      <w:r>
        <w:rPr>
          <w:rFonts w:ascii="Calibri" w:cs="Calibri" w:eastAsia="Calibri" w:hAnsi="Calibri"/>
          <w:color w:val="0E1A1C"/>
          <w:sz w:val="21"/>
          <w:szCs w:val="21"/>
        </w:rPr>
        <w:t xml:space="preserve">Als assessor: gebruik je vragen uit opdracht 2 en noteer per antwoord het bereikte bewijsniveau.</w:t>
      </w:r>
    </w:p>
    <w:p>
      <w:pPr>
        <w:pStyle w:val="ListParagraph"/>
        <w:numPr>
          <w:ilvl w:val="0"/>
          <w:numId w:val="2"/>
        </w:numPr>
        <w:spacing w:after="70" w:line="280"/>
      </w:pPr>
      <w:r>
        <w:rPr>
          <w:rFonts w:ascii="Calibri" w:cs="Calibri" w:eastAsia="Calibri" w:hAnsi="Calibri"/>
          <w:color w:val="0E1A1C"/>
          <w:sz w:val="21"/>
          <w:szCs w:val="21"/>
        </w:rPr>
        <w:t xml:space="preserve">Als respondent: speel je rol volledig, inclusief de neiging om het beter voor te stellen dan het is.</w:t>
      </w:r>
    </w:p>
    <w:p>
      <w:pPr>
        <w:pStyle w:val="ListParagraph"/>
        <w:numPr>
          <w:ilvl w:val="0"/>
          <w:numId w:val="2"/>
        </w:numPr>
        <w:spacing w:after="70" w:line="280"/>
      </w:pPr>
      <w:r>
        <w:rPr>
          <w:rFonts w:ascii="Calibri" w:cs="Calibri" w:eastAsia="Calibri" w:hAnsi="Calibri"/>
          <w:color w:val="0E1A1C"/>
          <w:sz w:val="21"/>
          <w:szCs w:val="21"/>
        </w:rPr>
        <w:t xml:space="preserve">Noteer als assessor op welk moment het gesprek van meningen naar bewijs kantelde — of waarom dat niet gebeurde.</w:t>
      </w:r>
    </w:p>
    <w:p>
      <w:pPr>
        <w:pStyle w:val="ListParagraph"/>
        <w:numPr>
          <w:ilvl w:val="0"/>
          <w:numId w:val="2"/>
        </w:numPr>
        <w:spacing w:after="70" w:line="280"/>
      </w:pPr>
      <w:r>
        <w:rPr>
          <w:rFonts w:ascii="Calibri" w:cs="Calibri" w:eastAsia="Calibri" w:hAnsi="Calibri"/>
          <w:color w:val="0E1A1C"/>
          <w:sz w:val="21"/>
          <w:szCs w:val="21"/>
        </w:rPr>
        <w:t xml:space="preserve">Bespreek na afloop met elkaar welke vraag het meeste opleverde en welke niets.</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Interviewaantekeningen met bewijsniveau per antwoord, plus één observatie over het kantelpunt.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rol van respondent leert je meer dan die van assessor. Let op wat je zelf doet wanneer je een vraag krijgt die je niet kunt beantwoorden.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50 minuten</w:t>
      </w:r>
    </w:p>
    <w:p>
      <w:pPr>
        <w:spacing w:after="140"/>
      </w:pPr>
      <w:r>
        <w:rPr>
          <w:rFonts w:ascii="Cambria" w:cs="Cambria" w:eastAsia="Cambria" w:hAnsi="Cambria"/>
          <w:b/>
          <w:bCs/>
          <w:color w:val="1B4A48"/>
          <w:sz w:val="30"/>
          <w:szCs w:val="30"/>
        </w:rPr>
        <w:t xml:space="preserve">Scoren en kalibreren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Onafhankelijk scoren, verschillen herleiden naar bewijs en de kalibratie vastleggen.</w:t>
      </w:r>
    </w:p>
    <w:p>
      <w:pPr>
        <w:pStyle w:val="ListParagraph"/>
        <w:numPr>
          <w:ilvl w:val="0"/>
          <w:numId w:val="2"/>
        </w:numPr>
        <w:spacing w:after="70" w:line="280"/>
      </w:pPr>
      <w:r>
        <w:rPr>
          <w:rFonts w:ascii="Calibri" w:cs="Calibri" w:eastAsia="Calibri" w:hAnsi="Calibri"/>
          <w:color w:val="0E1A1C"/>
          <w:sz w:val="21"/>
          <w:szCs w:val="21"/>
        </w:rPr>
        <w:t xml:space="preserve">Scoor op grond van het uitgereikte interviewmateriaal zes gebieden bij Meridiaan, individueel en zonder overleg.</w:t>
      </w:r>
    </w:p>
    <w:p>
      <w:pPr>
        <w:pStyle w:val="ListParagraph"/>
        <w:numPr>
          <w:ilvl w:val="0"/>
          <w:numId w:val="2"/>
        </w:numPr>
        <w:spacing w:after="70" w:line="280"/>
      </w:pPr>
      <w:r>
        <w:rPr>
          <w:rFonts w:ascii="Calibri" w:cs="Calibri" w:eastAsia="Calibri" w:hAnsi="Calibri"/>
          <w:color w:val="0E1A1C"/>
          <w:sz w:val="21"/>
          <w:szCs w:val="21"/>
        </w:rPr>
        <w:t xml:space="preserve">Vergelijk je scores met die van je duopartner en markeer de verschillen van twee niveaus of meer.</w:t>
      </w:r>
    </w:p>
    <w:p>
      <w:pPr>
        <w:pStyle w:val="ListParagraph"/>
        <w:numPr>
          <w:ilvl w:val="0"/>
          <w:numId w:val="2"/>
        </w:numPr>
        <w:spacing w:after="70" w:line="280"/>
      </w:pPr>
      <w:r>
        <w:rPr>
          <w:rFonts w:ascii="Calibri" w:cs="Calibri" w:eastAsia="Calibri" w:hAnsi="Calibri"/>
          <w:color w:val="0E1A1C"/>
          <w:sz w:val="21"/>
          <w:szCs w:val="21"/>
        </w:rPr>
        <w:t xml:space="preserve">Herleid elk groot verschil naar het onderliggende bewijs: wie zag wat, en telt dat mee?</w:t>
      </w:r>
    </w:p>
    <w:p>
      <w:pPr>
        <w:pStyle w:val="ListParagraph"/>
        <w:numPr>
          <w:ilvl w:val="0"/>
          <w:numId w:val="2"/>
        </w:numPr>
        <w:spacing w:after="70" w:line="280"/>
      </w:pPr>
      <w:r>
        <w:rPr>
          <w:rFonts w:ascii="Calibri" w:cs="Calibri" w:eastAsia="Calibri" w:hAnsi="Calibri"/>
          <w:color w:val="0E1A1C"/>
          <w:sz w:val="21"/>
          <w:szCs w:val="21"/>
        </w:rPr>
        <w:t xml:space="preserve">Kom tot een gezamenlijke score of leg vast waarom die er niet komt.</w:t>
      </w:r>
    </w:p>
    <w:p>
      <w:pPr>
        <w:pStyle w:val="ListParagraph"/>
        <w:numPr>
          <w:ilvl w:val="0"/>
          <w:numId w:val="2"/>
        </w:numPr>
        <w:spacing w:after="70" w:line="280"/>
      </w:pPr>
      <w:r>
        <w:rPr>
          <w:rFonts w:ascii="Calibri" w:cs="Calibri" w:eastAsia="Calibri" w:hAnsi="Calibri"/>
          <w:color w:val="0E1A1C"/>
          <w:sz w:val="21"/>
          <w:szCs w:val="21"/>
        </w:rPr>
        <w:t xml:space="preserve">Noteer welke systematische afwijking je bij jezelf herkent: te hoog of te laag, en waarom.</w:t>
      </w:r>
    </w:p>
    <w:p>
      <w:pPr>
        <w:pStyle w:val="ListParagraph"/>
        <w:numPr>
          <w:ilvl w:val="0"/>
          <w:numId w:val="2"/>
        </w:numPr>
        <w:spacing w:after="70" w:line="280"/>
      </w:pPr>
      <w:r>
        <w:rPr>
          <w:rFonts w:ascii="Calibri" w:cs="Calibri" w:eastAsia="Calibri" w:hAnsi="Calibri"/>
          <w:color w:val="0E1A1C"/>
          <w:sz w:val="21"/>
          <w:szCs w:val="21"/>
        </w:rPr>
        <w:t xml:space="preserve">Leg de kalibratie zo vast dat een herhaalmeting over twee jaar erop kan voortbouwen.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Twee individuele scoresets, een gekalibreerde set met onderbouwing en één zelfobservatie.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Bij één niveau verschil kies je de laagste en noteer je de spreiding. Wegmiddelen naar het gemiddelde verbergt informatie die de opdrachtgever nodig heeft.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40 minuten</w:t>
      </w:r>
    </w:p>
    <w:p>
      <w:pPr>
        <w:spacing w:after="140"/>
      </w:pPr>
      <w:r>
        <w:rPr>
          <w:rFonts w:ascii="Cambria" w:cs="Cambria" w:eastAsia="Cambria" w:hAnsi="Cambria"/>
          <w:b/>
          <w:bCs/>
          <w:color w:val="1B4A48"/>
          <w:sz w:val="30"/>
          <w:szCs w:val="30"/>
        </w:rPr>
        <w:t xml:space="preserve">Bewijs beoordelen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Onderscheiden wat een score kan dragen en wat niet.</w:t>
      </w:r>
    </w:p>
    <w:p>
      <w:pPr>
        <w:pStyle w:val="ListParagraph"/>
        <w:numPr>
          <w:ilvl w:val="0"/>
          <w:numId w:val="2"/>
        </w:numPr>
        <w:spacing w:after="70" w:line="280"/>
      </w:pPr>
      <w:r>
        <w:rPr>
          <w:rFonts w:ascii="Calibri" w:cs="Calibri" w:eastAsia="Calibri" w:hAnsi="Calibri"/>
          <w:color w:val="0E1A1C"/>
          <w:sz w:val="21"/>
          <w:szCs w:val="21"/>
        </w:rPr>
        <w:t xml:space="preserve">Je krijgt acht bewijsstukken uit het Meridiaan-assessment: uitspraken, documenten en waarnemingen.</w:t>
      </w:r>
    </w:p>
    <w:p>
      <w:pPr>
        <w:pStyle w:val="ListParagraph"/>
        <w:numPr>
          <w:ilvl w:val="0"/>
          <w:numId w:val="2"/>
        </w:numPr>
        <w:spacing w:after="70" w:line="280"/>
      </w:pPr>
      <w:r>
        <w:rPr>
          <w:rFonts w:ascii="Calibri" w:cs="Calibri" w:eastAsia="Calibri" w:hAnsi="Calibri"/>
          <w:color w:val="0E1A1C"/>
          <w:sz w:val="21"/>
          <w:szCs w:val="21"/>
        </w:rPr>
        <w:t xml:space="preserve">Bepaal per stuk het bewijsniveau en het hoogste scoreniveau dat het kan dragen.</w:t>
      </w:r>
    </w:p>
    <w:p>
      <w:pPr>
        <w:pStyle w:val="ListParagraph"/>
        <w:numPr>
          <w:ilvl w:val="0"/>
          <w:numId w:val="2"/>
        </w:numPr>
        <w:spacing w:after="70" w:line="280"/>
      </w:pPr>
      <w:r>
        <w:rPr>
          <w:rFonts w:ascii="Calibri" w:cs="Calibri" w:eastAsia="Calibri" w:hAnsi="Calibri"/>
          <w:color w:val="0E1A1C"/>
          <w:sz w:val="21"/>
          <w:szCs w:val="21"/>
        </w:rPr>
        <w:t xml:space="preserve">Markeer de twee stukken die op het eerste gezicht sterk lijken maar dat niet zijn.</w:t>
      </w:r>
    </w:p>
    <w:p>
      <w:pPr>
        <w:pStyle w:val="ListParagraph"/>
        <w:numPr>
          <w:ilvl w:val="0"/>
          <w:numId w:val="2"/>
        </w:numPr>
        <w:spacing w:after="70" w:line="280"/>
      </w:pPr>
      <w:r>
        <w:rPr>
          <w:rFonts w:ascii="Calibri" w:cs="Calibri" w:eastAsia="Calibri" w:hAnsi="Calibri"/>
          <w:color w:val="0E1A1C"/>
          <w:sz w:val="21"/>
          <w:szCs w:val="21"/>
        </w:rPr>
        <w:t xml:space="preserve">Bepaal welk aanvullend bewijs je zou opvragen om een niveau-4-score te kunnen verdedigen.</w:t>
      </w:r>
    </w:p>
    <w:p>
      <w:pPr>
        <w:pStyle w:val="ListParagraph"/>
        <w:numPr>
          <w:ilvl w:val="0"/>
          <w:numId w:val="2"/>
        </w:numPr>
        <w:spacing w:after="70" w:line="280"/>
      </w:pPr>
      <w:r>
        <w:rPr>
          <w:rFonts w:ascii="Calibri" w:cs="Calibri" w:eastAsia="Calibri" w:hAnsi="Calibri"/>
          <w:color w:val="0E1A1C"/>
          <w:sz w:val="21"/>
          <w:szCs w:val="21"/>
        </w:rPr>
        <w:t xml:space="preserve">Formuleer hoe je aan een respondent uitlegt dat zijn document niet volstaat, zonder hem te schofferen.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Acht beoordeelde bewijsstukken, twee markeringen en één geformuleerde uitleg.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begrippenlijst met vierhonderd termen is het klassieke geval: het document bestaat, dus het lijkt bewijs. Vraag naar de laatste wijziging en naar wie hem goedkeurde.</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40 minuten</w:t>
      </w:r>
    </w:p>
    <w:p>
      <w:pPr>
        <w:spacing w:after="140"/>
      </w:pPr>
      <w:r>
        <w:rPr>
          <w:rFonts w:ascii="Cambria" w:cs="Cambria" w:eastAsia="Cambria" w:hAnsi="Cambria"/>
          <w:b/>
          <w:bCs/>
          <w:color w:val="1B4A48"/>
          <w:sz w:val="30"/>
          <w:szCs w:val="30"/>
        </w:rPr>
        <w:t xml:space="preserve">Ambitieniveau bepalen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Drie scenario’s opstellen die de opdrachtgever in staat stellen te kiezen.</w:t>
      </w:r>
    </w:p>
    <w:p>
      <w:pPr>
        <w:pStyle w:val="ListParagraph"/>
        <w:numPr>
          <w:ilvl w:val="0"/>
          <w:numId w:val="2"/>
        </w:numPr>
        <w:spacing w:after="70" w:line="280"/>
      </w:pPr>
      <w:r>
        <w:rPr>
          <w:rFonts w:ascii="Calibri" w:cs="Calibri" w:eastAsia="Calibri" w:hAnsi="Calibri"/>
          <w:color w:val="0E1A1C"/>
          <w:sz w:val="21"/>
          <w:szCs w:val="21"/>
        </w:rPr>
        <w:t xml:space="preserve">Bepaal per gemeten gebied wat er misgaat als Meridiaan niets doet.</w:t>
      </w:r>
    </w:p>
    <w:p>
      <w:pPr>
        <w:pStyle w:val="ListParagraph"/>
        <w:numPr>
          <w:ilvl w:val="0"/>
          <w:numId w:val="2"/>
        </w:numPr>
        <w:spacing w:after="70" w:line="280"/>
      </w:pPr>
      <w:r>
        <w:rPr>
          <w:rFonts w:ascii="Calibri" w:cs="Calibri" w:eastAsia="Calibri" w:hAnsi="Calibri"/>
          <w:color w:val="0E1A1C"/>
          <w:sz w:val="21"/>
          <w:szCs w:val="21"/>
        </w:rPr>
        <w:t xml:space="preserve">Schat per gebied de inspanning om één niveau te stijgen, in maanden en fte.</w:t>
      </w:r>
    </w:p>
    <w:p>
      <w:pPr>
        <w:pStyle w:val="ListParagraph"/>
        <w:numPr>
          <w:ilvl w:val="0"/>
          <w:numId w:val="2"/>
        </w:numPr>
        <w:spacing w:after="70" w:line="280"/>
      </w:pPr>
      <w:r>
        <w:rPr>
          <w:rFonts w:ascii="Calibri" w:cs="Calibri" w:eastAsia="Calibri" w:hAnsi="Calibri"/>
          <w:color w:val="0E1A1C"/>
          <w:sz w:val="21"/>
          <w:szCs w:val="21"/>
        </w:rPr>
        <w:t xml:space="preserve">Stel drie scenario’s op: minimaal, gericht en volledig, elk met ambitieniveau per gebied.</w:t>
      </w:r>
    </w:p>
    <w:p>
      <w:pPr>
        <w:pStyle w:val="ListParagraph"/>
        <w:numPr>
          <w:ilvl w:val="0"/>
          <w:numId w:val="2"/>
        </w:numPr>
        <w:spacing w:after="70" w:line="280"/>
      </w:pPr>
      <w:r>
        <w:rPr>
          <w:rFonts w:ascii="Calibri" w:cs="Calibri" w:eastAsia="Calibri" w:hAnsi="Calibri"/>
          <w:color w:val="0E1A1C"/>
          <w:sz w:val="21"/>
          <w:szCs w:val="21"/>
        </w:rPr>
        <w:t xml:space="preserve">Geef per scenario kosten, doorlooptijd en het restrisico ten opzichte van de DNB-bevinding.</w:t>
      </w:r>
    </w:p>
    <w:p>
      <w:pPr>
        <w:pStyle w:val="ListParagraph"/>
        <w:numPr>
          <w:ilvl w:val="0"/>
          <w:numId w:val="2"/>
        </w:numPr>
        <w:spacing w:after="70" w:line="280"/>
      </w:pPr>
      <w:r>
        <w:rPr>
          <w:rFonts w:ascii="Calibri" w:cs="Calibri" w:eastAsia="Calibri" w:hAnsi="Calibri"/>
          <w:color w:val="0E1A1C"/>
          <w:sz w:val="21"/>
          <w:szCs w:val="21"/>
        </w:rPr>
        <w:t xml:space="preserve">Bepaal welk scenario jij zou adviseren, en welk je verwacht dat de CFO kiest.</w:t>
      </w:r>
    </w:p>
    <w:p>
      <w:pPr>
        <w:pStyle w:val="ListParagraph"/>
        <w:numPr>
          <w:ilvl w:val="0"/>
          <w:numId w:val="2"/>
        </w:numPr>
        <w:spacing w:after="70" w:line="280"/>
      </w:pPr>
      <w:r>
        <w:rPr>
          <w:rFonts w:ascii="Calibri" w:cs="Calibri" w:eastAsia="Calibri" w:hAnsi="Calibri"/>
          <w:color w:val="0E1A1C"/>
          <w:sz w:val="21"/>
          <w:szCs w:val="21"/>
        </w:rPr>
        <w:t xml:space="preserve">Beschrijf wat je vastlegt over wat er bewust níét gebeurt.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scenario’s met ambitieniveaus, kosten, doorlooptijd en restrisico.</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Het verschil tussen jouw advies en de verwachte keuze van de CFO is zelf informatie. Als die twee ver uiteenlopen, klopt er iets niet aan je onderbouwing of aan je scenario’s.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90 minuten</w:t>
      </w:r>
    </w:p>
    <w:p>
      <w:pPr>
        <w:spacing w:after="140"/>
      </w:pPr>
      <w:r>
        <w:rPr>
          <w:rFonts w:ascii="Cambria" w:cs="Cambria" w:eastAsia="Cambria" w:hAnsi="Cambria"/>
          <w:b/>
          <w:bCs/>
          <w:color w:val="1B4A48"/>
          <w:sz w:val="30"/>
          <w:szCs w:val="30"/>
        </w:rPr>
        <w:t xml:space="preserve">De assessmentrapportage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rapportage schrijven die eindigt bij een besluit.</w:t>
      </w:r>
    </w:p>
    <w:p>
      <w:pPr>
        <w:pStyle w:val="ListParagraph"/>
        <w:numPr>
          <w:ilvl w:val="0"/>
          <w:numId w:val="2"/>
        </w:numPr>
        <w:spacing w:after="70" w:line="280"/>
      </w:pPr>
      <w:r>
        <w:rPr>
          <w:rFonts w:ascii="Calibri" w:cs="Calibri" w:eastAsia="Calibri" w:hAnsi="Calibri"/>
          <w:color w:val="0E1A1C"/>
          <w:sz w:val="21"/>
          <w:szCs w:val="21"/>
        </w:rPr>
        <w:t xml:space="preserve">Schrijf een rapportage van maximaal acht pagina’s volgens de opbouw uit hoofdstuk 9.</w:t>
      </w:r>
    </w:p>
    <w:p>
      <w:pPr>
        <w:pStyle w:val="ListParagraph"/>
        <w:numPr>
          <w:ilvl w:val="0"/>
          <w:numId w:val="2"/>
        </w:numPr>
        <w:spacing w:after="70" w:line="280"/>
      </w:pPr>
      <w:r>
        <w:rPr>
          <w:rFonts w:ascii="Calibri" w:cs="Calibri" w:eastAsia="Calibri" w:hAnsi="Calibri"/>
          <w:color w:val="0E1A1C"/>
          <w:sz w:val="21"/>
          <w:szCs w:val="21"/>
        </w:rPr>
        <w:t xml:space="preserve">Neem de gehanteerde schaal en scoringsdefinities letterlijk op.</w:t>
      </w:r>
    </w:p>
    <w:p>
      <w:pPr>
        <w:pStyle w:val="ListParagraph"/>
        <w:numPr>
          <w:ilvl w:val="0"/>
          <w:numId w:val="2"/>
        </w:numPr>
        <w:spacing w:after="70" w:line="280"/>
      </w:pPr>
      <w:r>
        <w:rPr>
          <w:rFonts w:ascii="Calibri" w:cs="Calibri" w:eastAsia="Calibri" w:hAnsi="Calibri"/>
          <w:color w:val="0E1A1C"/>
          <w:sz w:val="21"/>
          <w:szCs w:val="21"/>
        </w:rPr>
        <w:t xml:space="preserve">Vermeld per score het zwaarste bewijs waarop hij rust.</w:t>
      </w:r>
    </w:p>
    <w:p>
      <w:pPr>
        <w:pStyle w:val="ListParagraph"/>
        <w:numPr>
          <w:ilvl w:val="0"/>
          <w:numId w:val="2"/>
        </w:numPr>
        <w:spacing w:after="70" w:line="280"/>
      </w:pPr>
      <w:r>
        <w:rPr>
          <w:rFonts w:ascii="Calibri" w:cs="Calibri" w:eastAsia="Calibri" w:hAnsi="Calibri"/>
          <w:color w:val="0E1A1C"/>
          <w:sz w:val="21"/>
          <w:szCs w:val="21"/>
        </w:rPr>
        <w:t xml:space="preserve">Beschrijf expliciet wat niet is gemeten en waarom.</w:t>
      </w:r>
    </w:p>
    <w:p>
      <w:pPr>
        <w:pStyle w:val="ListParagraph"/>
        <w:numPr>
          <w:ilvl w:val="0"/>
          <w:numId w:val="2"/>
        </w:numPr>
        <w:spacing w:after="70" w:line="280"/>
      </w:pPr>
      <w:r>
        <w:rPr>
          <w:rFonts w:ascii="Calibri" w:cs="Calibri" w:eastAsia="Calibri" w:hAnsi="Calibri"/>
          <w:color w:val="0E1A1C"/>
          <w:sz w:val="21"/>
          <w:szCs w:val="21"/>
        </w:rPr>
        <w:t xml:space="preserve">Beperk je tot drie tot vijf bevindingen met impact.</w:t>
      </w:r>
    </w:p>
    <w:p>
      <w:pPr>
        <w:pStyle w:val="ListParagraph"/>
        <w:numPr>
          <w:ilvl w:val="0"/>
          <w:numId w:val="2"/>
        </w:numPr>
        <w:spacing w:after="70" w:line="280"/>
      </w:pPr>
      <w:r>
        <w:rPr>
          <w:rFonts w:ascii="Calibri" w:cs="Calibri" w:eastAsia="Calibri" w:hAnsi="Calibri"/>
          <w:color w:val="0E1A1C"/>
          <w:sz w:val="21"/>
          <w:szCs w:val="21"/>
        </w:rPr>
        <w:t xml:space="preserve">Sluit af met een gevraagd besluit, een aanwijsbare persoon en een datum.</w:t>
      </w:r>
    </w:p>
    <w:p>
      <w:pPr>
        <w:pStyle w:val="ListParagraph"/>
        <w:numPr>
          <w:ilvl w:val="0"/>
          <w:numId w:val="2"/>
        </w:numPr>
        <w:spacing w:after="70" w:line="280"/>
      </w:pPr>
      <w:r>
        <w:rPr>
          <w:rFonts w:ascii="Calibri" w:cs="Calibri" w:eastAsia="Calibri" w:hAnsi="Calibri"/>
          <w:color w:val="0E1A1C"/>
          <w:sz w:val="21"/>
          <w:szCs w:val="21"/>
        </w:rPr>
        <w:t xml:space="preserve">Laat een medecursist de rapportage lezen en aanwijzen waar hij als opdrachtgever zou gaan discussiëren in plaats van beslissen.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Rapportage van maximaal acht pagina’s, aangepast na peer review.</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rapport dat eindigt bij een spinnenweb nodigt uit tot een discussie over de scores. Een rapport dat eindigt bij drie scenario’s nodigt uit tot een keuze.</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Waarom is het DMBOK geen assessmentraamwerk?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is te oud.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beschrijft kennisgebieden, geen volwassenheidsniveaus met scoringscriteria.</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is niet vrij beschikbaar.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richt zich alleen op governance.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Een respondent zegt: "wij hebben een begrippenlijst." Welk bewijsniveau is dit?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Waarneming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Document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Uitspraak</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Geen bewijs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Welk bewijsniveau is minimaal nodig voor een score op niveau 4?</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Uitspraak</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Document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Waarneming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Geen, een score is een oordeel</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Twee assessoren verschillen één niveau op hetzelfde gebied. Wat doe je?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Middelen naar het gemiddelde.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laagste kiezen en de spreiding noteren.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Opnieuw interviewen.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senior assessor beslist.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Welke systematische afwijking komt bij interne assessoren voor?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Ze scoren structureel lager.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Ze scoren structureel hoger.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Ze scoren willekeurig.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Ze scoren alleen op documenten.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Wat doe je met een capability die buiten de scope van de opdracht valt?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Op nul scoren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Vastleggen dat je hem niet hebt gemeten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Schatten op basis van de andere scores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Alsnog meten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Waarom vraag je niet "hoe volwassen is jullie datakwaliteitsbeheer?"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vraag is te lang.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Respondenten geven een oordeel over de organisatie, meestal tussen drie en vier, en dat levert niets op.</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term volwassenheid is beladen.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valt buiten de scope.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Welk raamwerk vereist lidmaatschap van de EDM Association?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DAMA-DMBOK</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CMMI-DMM</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DCAM</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ISO 8000</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Wat maakt een assessmentrapportage bruikbaar voor een bestuur?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spinnenweb met alle scores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Drie scenario’s met kosten, doorlooptijd en het gevolg van niets doen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volledige lijst bevindingen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namen van alle respondenten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Waarom neem je respondentnamen niet op bij individuele uitspraken?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Vanwege de AVG.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Anders krijg je bij de volgende meting geen eerlijke antwoorden meer.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maakt het rapport te lang.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opdrachtgever verbiedt het.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Wat is een realistisch ambitieniveau voor de meeste organisaties?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Niveau 5 op alle gebieden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Niveau 3 op de kritieke gebieden en 2 op de rest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Niveau 4 op alle gebieden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huidige niveau handhaven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Waarom scoren assessoren eerst onafhankelijk?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gaat sneller.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Samen scoren levert het oordeel van de dominantste persoon op.</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is een eis van DCAM.</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 de doorlooptijd te verkorten.</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Welke vraag stelde jij als assessor die niets opleverde — en waarom stelde je hem?</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Scoor jij structureel te hoog of te laag? Waaruit blijkt dat?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 assessment dat je zelf ooit hebt ondergaan zou deze bewijstoets niet doorstaan?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11 — Frameworks in de praktijk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Frameworks in de praktijk — Werkboek</dc:title>
  <dc:creator>Ductus B.V.</dc:creator>
  <dc:description>Cursusmateriaal datamanagement, data-analyse en data governance</dc:description>
  <cp:lastModifiedBy>Un-named</cp:lastModifiedBy>
  <cp:revision>1</cp:revision>
  <dcterms:created xsi:type="dcterms:W3CDTF">2026-08-05T10:35:02.628Z</dcterms:created>
  <dcterms:modified xsi:type="dcterms:W3CDTF">2026-08-05T10:35:02.628Z</dcterms:modified>
</cp:coreProperties>
</file>

<file path=docProps/custom.xml><?xml version="1.0" encoding="utf-8"?>
<Properties xmlns="http://schemas.openxmlformats.org/officeDocument/2006/custom-properties" xmlns:vt="http://schemas.openxmlformats.org/officeDocument/2006/docPropsVTypes"/>
</file>