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12</w:t>
      </w:r>
    </w:p>
    <w:p>
      <w:pPr>
        <w:spacing w:after="120"/>
      </w:pPr>
      <w:r>
        <w:rPr>
          <w:rFonts w:ascii="Cambria" w:cs="Cambria" w:eastAsia="Cambria" w:hAnsi="Cambria"/>
          <w:b/>
          <w:bCs/>
          <w:color w:val="0E1A1C"/>
          <w:sz w:val="56"/>
          <w:szCs w:val="56"/>
        </w:rPr>
        <w:t xml:space="preserve">Conceptueel, logisch en fysiek modelleren</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6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Flip-overvellen, geprinte casusbeschrijving premie-analyse, reviewmodel</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12 gelezen; deel 2 en 11 afgerond.</w:t>
      </w:r>
    </w:p>
    <w:p>
      <w:pPr>
        <w:pStyle w:val="ListParagraph"/>
        <w:numPr>
          <w:ilvl w:val="0"/>
          <w:numId w:val="2"/>
        </w:numPr>
        <w:spacing w:after="70" w:line="280"/>
      </w:pPr>
      <w:r>
        <w:rPr>
          <w:rFonts w:ascii="Calibri" w:cs="Calibri" w:eastAsia="Calibri" w:hAnsi="Calibri"/>
          <w:color w:val="0E1A1C"/>
          <w:sz w:val="21"/>
          <w:szCs w:val="21"/>
        </w:rPr>
        <w:t xml:space="preserve">Opdracht 1 en 2 gemaakt, en een eigen datamodel meegenomen voor opdracht 7. Herinner de groep daaraan; zonder eigen materiaal verliest die opdracht het grootste deel van zijn waarde.</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Flip-overvellen en potloden, minimaal drie vellen per tweetal. Geen modelleertool.</w:t>
      </w:r>
    </w:p>
    <w:p>
      <w:pPr>
        <w:pStyle w:val="ListParagraph"/>
        <w:numPr>
          <w:ilvl w:val="0"/>
          <w:numId w:val="2"/>
        </w:numPr>
        <w:spacing w:after="70" w:line="280"/>
      </w:pPr>
      <w:r>
        <w:rPr>
          <w:rFonts w:ascii="Calibri" w:cs="Calibri" w:eastAsia="Calibri" w:hAnsi="Calibri"/>
          <w:color w:val="0E1A1C"/>
          <w:sz w:val="21"/>
          <w:szCs w:val="21"/>
        </w:rPr>
        <w:t xml:space="preserve">De casusbeschrijving voor opdracht 3, met daarin bewust de verleiding om op maandniveau te aggregeren.</w:t>
      </w:r>
    </w:p>
    <w:p>
      <w:pPr>
        <w:pStyle w:val="ListParagraph"/>
        <w:numPr>
          <w:ilvl w:val="0"/>
          <w:numId w:val="2"/>
        </w:numPr>
        <w:spacing w:after="70" w:line="280"/>
      </w:pPr>
      <w:r>
        <w:rPr>
          <w:rFonts w:ascii="Calibri" w:cs="Calibri" w:eastAsia="Calibri" w:hAnsi="Calibri"/>
          <w:color w:val="0E1A1C"/>
          <w:sz w:val="21"/>
          <w:szCs w:val="21"/>
        </w:rPr>
        <w:t xml:space="preserve">Een reviewmodel voor opdracht 7 als terugvaloptie voor wie niets heeft meegenomen: een dimensioneel model met een te grof grein, één SCD-type voor de hele dimensie, en geen tijdlijnonderscheid.</w:t>
      </w:r>
    </w:p>
    <w:p>
      <w:pPr>
        <w:pStyle w:val="ListParagraph"/>
        <w:numPr>
          <w:ilvl w:val="0"/>
          <w:numId w:val="2"/>
        </w:numPr>
        <w:spacing w:after="70" w:line="280"/>
      </w:pPr>
      <w:r>
        <w:rPr>
          <w:rFonts w:ascii="Calibri" w:cs="Calibri" w:eastAsia="Calibri" w:hAnsi="Calibri"/>
          <w:color w:val="0E1A1C"/>
          <w:sz w:val="21"/>
          <w:szCs w:val="21"/>
        </w:rPr>
        <w:t xml:space="preserve">Een tijdlijnvel voor opdracht 6, met 1 maart, 1 april en 18 april er al op — dat maakt het onderscheid meteen zichtbaar.</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Deel 2 leerde modellen lezen; dit deel bouwt ze. Het is de kern van de voorbereiding op het specialistexamen Data Modeling &amp; Design. Deel 13 koppelt de modellen aan het begrippenkader, deel 14 aan master data, deel 15 aan kwaliteitsregels. De greinkeuze en de tijdlijnvraag komen terug in de capstone van deel 21.</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drie modellen, geen van drie fout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Begin bij de vraag waarom een genormaliseerd én een dimensioneel model naast elkaar bestaan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0:20–0:45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Notaties en de keten, bespreking opdracht 1 en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traceerbaarheidstoets is het praktische zwaartepunt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0:45–2:15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dimensioneel model</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Loop rond en vraag consequent naar het grein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2:30–3:30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SCD per attribuut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gecorrigeerde geboortedatum is het kernmoment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3:30–4:45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Data Vault</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Dwing af dat het advies ook argumenten tégen bevat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4:45–5:45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bitemporeel</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Gebruik het tijdlijnvel; abstract praten werkt hier niet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5:45–6:00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7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Notaties vergelijken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bovengrens "hooguit één partner" herkend als regel die in kraaienpootnotatie doorgaans verdwijnt.</w:t>
      </w:r>
    </w:p>
    <w:p>
      <w:pPr>
        <w:pStyle w:val="ListParagraph"/>
        <w:numPr>
          <w:ilvl w:val="0"/>
          <w:numId w:val="2"/>
        </w:numPr>
        <w:spacing w:after="70" w:line="280"/>
      </w:pPr>
      <w:r>
        <w:rPr>
          <w:rFonts w:ascii="Calibri" w:cs="Calibri" w:eastAsia="Calibri" w:hAnsi="Calibri"/>
          <w:color w:val="0E1A1C"/>
          <w:sz w:val="21"/>
          <w:szCs w:val="21"/>
        </w:rPr>
        <w:t xml:space="preserve">Feitzinnen die daadwerkelijk als zin lezen en niet als omschreven diagram.</w:t>
      </w:r>
    </w:p>
    <w:p>
      <w:pPr>
        <w:pStyle w:val="ListParagraph"/>
        <w:numPr>
          <w:ilvl w:val="0"/>
          <w:numId w:val="2"/>
        </w:numPr>
        <w:spacing w:after="70" w:line="280"/>
      </w:pPr>
      <w:r>
        <w:rPr>
          <w:rFonts w:ascii="Calibri" w:cs="Calibri" w:eastAsia="Calibri" w:hAnsi="Calibri"/>
          <w:color w:val="0E1A1C"/>
          <w:sz w:val="21"/>
          <w:szCs w:val="21"/>
        </w:rPr>
        <w:t xml:space="preserve">De veel-op-veel tussen Werkgever en Regeling in alle drie de notaties correct.</w:t>
      </w:r>
    </w:p>
    <w:p>
      <w:pPr>
        <w:pStyle w:val="ListParagraph"/>
        <w:numPr>
          <w:ilvl w:val="0"/>
          <w:numId w:val="2"/>
        </w:numPr>
        <w:spacing w:after="70" w:line="280"/>
      </w:pPr>
      <w:r>
        <w:rPr>
          <w:rFonts w:ascii="Calibri" w:cs="Calibri" w:eastAsia="Calibri" w:hAnsi="Calibri"/>
          <w:color w:val="0E1A1C"/>
          <w:sz w:val="21"/>
          <w:szCs w:val="21"/>
        </w:rPr>
        <w:t xml:space="preserve">Een publiekskeuze die is onderbouwd met wie het model moet goedkeuren.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Drie keer hetzelfde diagram met andere symbolen. Vraag welke regel er in elk zichtbaar is.</w:t>
      </w:r>
    </w:p>
    <w:p>
      <w:pPr>
        <w:pStyle w:val="ListParagraph"/>
        <w:numPr>
          <w:ilvl w:val="0"/>
          <w:numId w:val="2"/>
        </w:numPr>
        <w:spacing w:after="70" w:line="280"/>
      </w:pPr>
      <w:r>
        <w:rPr>
          <w:rFonts w:ascii="Calibri" w:cs="Calibri" w:eastAsia="Calibri" w:hAnsi="Calibri"/>
          <w:color w:val="0E1A1C"/>
          <w:sz w:val="21"/>
          <w:szCs w:val="21"/>
        </w:rPr>
        <w:t xml:space="preserve">UML kiezen voor een validatiesessie met directeuren; die ervaren het als technisch.</w:t>
      </w:r>
    </w:p>
    <w:p>
      <w:pPr>
        <w:pStyle w:val="ListParagraph"/>
        <w:numPr>
          <w:ilvl w:val="0"/>
          <w:numId w:val="2"/>
        </w:numPr>
        <w:spacing w:after="70" w:line="280"/>
      </w:pPr>
      <w:r>
        <w:rPr>
          <w:rFonts w:ascii="Calibri" w:cs="Calibri" w:eastAsia="Calibri" w:hAnsi="Calibri"/>
          <w:color w:val="0E1A1C"/>
          <w:sz w:val="21"/>
          <w:szCs w:val="21"/>
        </w:rPr>
        <w:t xml:space="preserve">De legenda vergeten. Elke notatie vraagt er een.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regel uit het fragment staat in maar één van jouw drie uitwerkingen?</w:t>
            </w:r>
          </w:p>
        </w:tc>
      </w:tr>
    </w:tbl>
    <w:p>
      <w:pPr>
        <w:pStyle w:val="Heading2"/>
        <w:spacing w:after="140" w:before="340"/>
      </w:pPr>
      <w:r>
        <w:rPr>
          <w:rFonts w:ascii="Cambria" w:cs="Cambria" w:eastAsia="Cambria" w:hAnsi="Cambria"/>
          <w:b/>
          <w:bCs/>
          <w:color w:val="0E1A1C"/>
          <w:sz w:val="26"/>
          <w:szCs w:val="26"/>
        </w:rPr>
        <w:t xml:space="preserve">Opdracht 2 — Van CDM naar LDM</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Traceerbaarheidsverwijzing per logische entiteit naar de conceptuele entiteit.</w:t>
      </w:r>
    </w:p>
    <w:p>
      <w:pPr>
        <w:pStyle w:val="ListParagraph"/>
        <w:numPr>
          <w:ilvl w:val="0"/>
          <w:numId w:val="2"/>
        </w:numPr>
        <w:spacing w:after="70" w:line="280"/>
      </w:pPr>
      <w:r>
        <w:rPr>
          <w:rFonts w:ascii="Calibri" w:cs="Calibri" w:eastAsia="Calibri" w:hAnsi="Calibri"/>
          <w:color w:val="0E1A1C"/>
          <w:sz w:val="21"/>
          <w:szCs w:val="21"/>
        </w:rPr>
        <w:t xml:space="preserve">Een geklokte traceerbaarheidstoets, ook als die langer dan twee minuten duurde.</w:t>
      </w:r>
    </w:p>
    <w:p>
      <w:pPr>
        <w:pStyle w:val="ListParagraph"/>
        <w:numPr>
          <w:ilvl w:val="0"/>
          <w:numId w:val="2"/>
        </w:numPr>
        <w:spacing w:after="70" w:line="280"/>
      </w:pPr>
      <w:r>
        <w:rPr>
          <w:rFonts w:ascii="Calibri" w:cs="Calibri" w:eastAsia="Calibri" w:hAnsi="Calibri"/>
          <w:color w:val="0E1A1C"/>
          <w:sz w:val="21"/>
          <w:szCs w:val="21"/>
        </w:rPr>
        <w:t xml:space="preserve">Bewust gestopt met normaliseren, met vermelding waar en waarom.</w:t>
      </w:r>
    </w:p>
    <w:p>
      <w:pPr>
        <w:pStyle w:val="ListParagraph"/>
        <w:numPr>
          <w:ilvl w:val="0"/>
          <w:numId w:val="2"/>
        </w:numPr>
        <w:spacing w:after="70" w:line="280"/>
      </w:pPr>
      <w:r>
        <w:rPr>
          <w:rFonts w:ascii="Calibri" w:cs="Calibri" w:eastAsia="Calibri" w:hAnsi="Calibri"/>
          <w:color w:val="0E1A1C"/>
          <w:sz w:val="21"/>
          <w:szCs w:val="21"/>
        </w:rPr>
        <w:t xml:space="preserve">Ruimhartig gemarkeerde historie-attributen als input voor opdracht 4.</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verwijzingen weglaten omdat "het duidelijk is". Bij een wijziging is het dat niet meer.</w:t>
      </w:r>
    </w:p>
    <w:p>
      <w:pPr>
        <w:pStyle w:val="ListParagraph"/>
        <w:numPr>
          <w:ilvl w:val="0"/>
          <w:numId w:val="2"/>
        </w:numPr>
        <w:spacing w:after="70" w:line="280"/>
      </w:pPr>
      <w:r>
        <w:rPr>
          <w:rFonts w:ascii="Calibri" w:cs="Calibri" w:eastAsia="Calibri" w:hAnsi="Calibri"/>
          <w:color w:val="0E1A1C"/>
          <w:sz w:val="21"/>
          <w:szCs w:val="21"/>
        </w:rPr>
        <w:t xml:space="preserve">Doornormaliseren tot het model onleesbaar wordt zonder de reden te noteren.</w:t>
      </w:r>
    </w:p>
    <w:p>
      <w:pPr>
        <w:pStyle w:val="ListParagraph"/>
        <w:numPr>
          <w:ilvl w:val="0"/>
          <w:numId w:val="2"/>
        </w:numPr>
        <w:spacing w:after="70" w:line="280"/>
      </w:pPr>
      <w:r>
        <w:rPr>
          <w:rFonts w:ascii="Calibri" w:cs="Calibri" w:eastAsia="Calibri" w:hAnsi="Calibri"/>
          <w:color w:val="0E1A1C"/>
          <w:sz w:val="21"/>
          <w:szCs w:val="21"/>
        </w:rPr>
        <w:t xml:space="preserve">Te zuinig markeren voor historie; schrappen kan later, toevoegen niet.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 lang deed je over de traceerbaarheidstoets, en wat zegt dat over bruikbaarheid bij een impactanalyse?</w:t>
            </w:r>
          </w:p>
        </w:tc>
      </w:tr>
    </w:tbl>
    <w:p>
      <w:pPr>
        <w:pStyle w:val="Heading2"/>
        <w:spacing w:after="140" w:before="340"/>
      </w:pPr>
      <w:r>
        <w:rPr>
          <w:rFonts w:ascii="Cambria" w:cs="Cambria" w:eastAsia="Cambria" w:hAnsi="Cambria"/>
          <w:b/>
          <w:bCs/>
          <w:color w:val="0E1A1C"/>
          <w:sz w:val="26"/>
          <w:szCs w:val="26"/>
        </w:rPr>
        <w:t xml:space="preserve">Opdracht 3 — Dimensioneel model bouwen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Grein op één premiebetaling, met de expliciete afweging tegen maandaggregatie.</w:t>
      </w:r>
    </w:p>
    <w:p>
      <w:pPr>
        <w:pStyle w:val="ListParagraph"/>
        <w:numPr>
          <w:ilvl w:val="0"/>
          <w:numId w:val="2"/>
        </w:numPr>
        <w:spacing w:after="70" w:line="280"/>
      </w:pPr>
      <w:r>
        <w:rPr>
          <w:rFonts w:ascii="Calibri" w:cs="Calibri" w:eastAsia="Calibri" w:hAnsi="Calibri"/>
          <w:color w:val="0E1A1C"/>
          <w:sz w:val="21"/>
          <w:szCs w:val="21"/>
        </w:rPr>
        <w:t xml:space="preserve">Een lijst van analyses die door de greinkeuze wegvallen — dat is het bewijs dat de keuze bewust is.</w:t>
      </w:r>
    </w:p>
    <w:p>
      <w:pPr>
        <w:pStyle w:val="ListParagraph"/>
        <w:numPr>
          <w:ilvl w:val="0"/>
          <w:numId w:val="2"/>
        </w:numPr>
        <w:spacing w:after="70" w:line="280"/>
      </w:pPr>
      <w:r>
        <w:rPr>
          <w:rFonts w:ascii="Calibri" w:cs="Calibri" w:eastAsia="Calibri" w:hAnsi="Calibri"/>
          <w:color w:val="0E1A1C"/>
          <w:sz w:val="21"/>
          <w:szCs w:val="21"/>
        </w:rPr>
        <w:t xml:space="preserve">Een tijddimensie met meer dan alleen datum: periode, kwartaal, boekjaar.</w:t>
      </w:r>
    </w:p>
    <w:p>
      <w:pPr>
        <w:pStyle w:val="ListParagraph"/>
        <w:numPr>
          <w:ilvl w:val="0"/>
          <w:numId w:val="2"/>
        </w:numPr>
        <w:spacing w:after="70" w:line="280"/>
      </w:pPr>
      <w:r>
        <w:rPr>
          <w:rFonts w:ascii="Calibri" w:cs="Calibri" w:eastAsia="Calibri" w:hAnsi="Calibri"/>
          <w:color w:val="0E1A1C"/>
          <w:sz w:val="21"/>
          <w:szCs w:val="21"/>
        </w:rPr>
        <w:t xml:space="preserve">Achterstanden ondergebracht in een tweede feitentabel of als status op het transactiefeit, met onderbouwing.</w:t>
      </w:r>
    </w:p>
    <w:p>
      <w:pPr>
        <w:pStyle w:val="ListParagraph"/>
        <w:numPr>
          <w:ilvl w:val="0"/>
          <w:numId w:val="2"/>
        </w:numPr>
        <w:spacing w:after="70" w:line="280"/>
      </w:pPr>
      <w:r>
        <w:rPr>
          <w:rFonts w:ascii="Calibri" w:cs="Calibri" w:eastAsia="Calibri" w:hAnsi="Calibri"/>
          <w:color w:val="0E1A1C"/>
          <w:sz w:val="21"/>
          <w:szCs w:val="21"/>
        </w:rPr>
        <w:t xml:space="preserve">De sectordimensie herkend als attribuut van Werkgever en niet als eigen dimensie — of juist wel, met argument.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Aggregeren op maandniveau omdat de vraag over maanden gaat. Vraag wat er dan onmogelijk wordt.</w:t>
      </w:r>
    </w:p>
    <w:p>
      <w:pPr>
        <w:pStyle w:val="ListParagraph"/>
        <w:numPr>
          <w:ilvl w:val="0"/>
          <w:numId w:val="2"/>
        </w:numPr>
        <w:spacing w:after="70" w:line="280"/>
      </w:pPr>
      <w:r>
        <w:rPr>
          <w:rFonts w:ascii="Calibri" w:cs="Calibri" w:eastAsia="Calibri" w:hAnsi="Calibri"/>
          <w:color w:val="0E1A1C"/>
          <w:sz w:val="21"/>
          <w:szCs w:val="21"/>
        </w:rPr>
        <w:t xml:space="preserve">Het grein niet expliciet benoemen. Zonder greinverantwoording is het model niet beoordeelbaar.</w:t>
      </w:r>
    </w:p>
    <w:p>
      <w:pPr>
        <w:pStyle w:val="ListParagraph"/>
        <w:numPr>
          <w:ilvl w:val="0"/>
          <w:numId w:val="2"/>
        </w:numPr>
        <w:spacing w:after="70" w:line="280"/>
      </w:pPr>
      <w:r>
        <w:rPr>
          <w:rFonts w:ascii="Calibri" w:cs="Calibri" w:eastAsia="Calibri" w:hAnsi="Calibri"/>
          <w:color w:val="0E1A1C"/>
          <w:sz w:val="21"/>
          <w:szCs w:val="21"/>
        </w:rPr>
        <w:t xml:space="preserve">Elk attribuut een eigen dimensie geven; dat levert een sneeuwvlok op zonder reden.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vraag kan de opdrachtgever over twee jaar niet meer stellen door jouw greinkeuze?</w:t>
            </w:r>
          </w:p>
        </w:tc>
      </w:tr>
    </w:tbl>
    <w:p>
      <w:pPr>
        <w:pStyle w:val="Heading2"/>
        <w:spacing w:after="140" w:before="340"/>
      </w:pPr>
      <w:r>
        <w:rPr>
          <w:rFonts w:ascii="Cambria" w:cs="Cambria" w:eastAsia="Cambria" w:hAnsi="Cambria"/>
          <w:b/>
          <w:bCs/>
          <w:color w:val="0E1A1C"/>
          <w:sz w:val="26"/>
          <w:szCs w:val="26"/>
        </w:rPr>
        <w:t xml:space="preserve">Opdracht 4 — SCD-keuze per attribuut</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Per attribuut een type, niet één type voor de hele dimensie.</w:t>
      </w:r>
    </w:p>
    <w:p>
      <w:pPr>
        <w:pStyle w:val="ListParagraph"/>
        <w:numPr>
          <w:ilvl w:val="0"/>
          <w:numId w:val="2"/>
        </w:numPr>
        <w:spacing w:after="70" w:line="280"/>
      </w:pPr>
      <w:r>
        <w:rPr>
          <w:rFonts w:ascii="Calibri" w:cs="Calibri" w:eastAsia="Calibri" w:hAnsi="Calibri"/>
          <w:color w:val="0E1A1C"/>
          <w:sz w:val="21"/>
          <w:szCs w:val="21"/>
        </w:rPr>
        <w:t xml:space="preserve">Geboortedatum als type 0 of type 1 met het onderscheid fout versus wijziging expliciet.</w:t>
      </w:r>
    </w:p>
    <w:p>
      <w:pPr>
        <w:pStyle w:val="ListParagraph"/>
        <w:numPr>
          <w:ilvl w:val="0"/>
          <w:numId w:val="2"/>
        </w:numPr>
        <w:spacing w:after="70" w:line="280"/>
      </w:pPr>
      <w:r>
        <w:rPr>
          <w:rFonts w:ascii="Calibri" w:cs="Calibri" w:eastAsia="Calibri" w:hAnsi="Calibri"/>
          <w:color w:val="0E1A1C"/>
          <w:sz w:val="21"/>
          <w:szCs w:val="21"/>
        </w:rPr>
        <w:t xml:space="preserve">Adres, werkgever en status als type 2.</w:t>
      </w:r>
    </w:p>
    <w:p>
      <w:pPr>
        <w:pStyle w:val="ListParagraph"/>
        <w:numPr>
          <w:ilvl w:val="0"/>
          <w:numId w:val="2"/>
        </w:numPr>
        <w:spacing w:after="70" w:line="280"/>
      </w:pPr>
      <w:r>
        <w:rPr>
          <w:rFonts w:ascii="Calibri" w:cs="Calibri" w:eastAsia="Calibri" w:hAnsi="Calibri"/>
          <w:color w:val="0E1A1C"/>
          <w:sz w:val="21"/>
          <w:szCs w:val="21"/>
        </w:rPr>
        <w:t xml:space="preserve">Drie foutscenario’s die concreet zijn: wat toont de rapportage over vorig jaar dan?</w:t>
      </w:r>
    </w:p>
    <w:p>
      <w:pPr>
        <w:pStyle w:val="ListParagraph"/>
        <w:numPr>
          <w:ilvl w:val="0"/>
          <w:numId w:val="2"/>
        </w:numPr>
        <w:spacing w:after="70" w:line="280"/>
      </w:pPr>
      <w:r>
        <w:rPr>
          <w:rFonts w:ascii="Calibri" w:cs="Calibri" w:eastAsia="Calibri" w:hAnsi="Calibri"/>
          <w:color w:val="0E1A1C"/>
          <w:sz w:val="21"/>
          <w:szCs w:val="21"/>
        </w:rPr>
        <w:t xml:space="preserve">Een groeischatting van de dimensie bij de type 2-keuzes.</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Alles type 2 maken "voor de zekerheid". Vraag hoe hard de dimensie dan groeit.</w:t>
      </w:r>
    </w:p>
    <w:p>
      <w:pPr>
        <w:pStyle w:val="ListParagraph"/>
        <w:numPr>
          <w:ilvl w:val="0"/>
          <w:numId w:val="2"/>
        </w:numPr>
        <w:spacing w:after="70" w:line="280"/>
      </w:pPr>
      <w:r>
        <w:rPr>
          <w:rFonts w:ascii="Calibri" w:cs="Calibri" w:eastAsia="Calibri" w:hAnsi="Calibri"/>
          <w:color w:val="0E1A1C"/>
          <w:sz w:val="21"/>
          <w:szCs w:val="21"/>
        </w:rPr>
        <w:t xml:space="preserve">Het onderscheid fout versus wijziging niet maken; dan wordt historie weggecorrigeerd of worden fouten bevroren.</w:t>
      </w:r>
    </w:p>
    <w:p>
      <w:pPr>
        <w:pStyle w:val="ListParagraph"/>
        <w:numPr>
          <w:ilvl w:val="0"/>
          <w:numId w:val="2"/>
        </w:numPr>
        <w:spacing w:after="70" w:line="280"/>
      </w:pPr>
      <w:r>
        <w:rPr>
          <w:rFonts w:ascii="Calibri" w:cs="Calibri" w:eastAsia="Calibri" w:hAnsi="Calibri"/>
          <w:color w:val="0E1A1C"/>
          <w:sz w:val="21"/>
          <w:szCs w:val="21"/>
        </w:rPr>
        <w:t xml:space="preserve">De gevolgen voor bestaande rapportages overslaan.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gebeurt er met de DNB-rapportage van vorig jaar als je adres als type 1 behandelt?</w:t>
            </w:r>
          </w:p>
        </w:tc>
      </w:tr>
    </w:tbl>
    <w:p>
      <w:pPr>
        <w:pStyle w:val="Heading2"/>
        <w:spacing w:after="140" w:before="340"/>
      </w:pPr>
      <w:r>
        <w:rPr>
          <w:rFonts w:ascii="Cambria" w:cs="Cambria" w:eastAsia="Cambria" w:hAnsi="Cambria"/>
          <w:b/>
          <w:bCs/>
          <w:color w:val="0E1A1C"/>
          <w:sz w:val="26"/>
          <w:szCs w:val="26"/>
        </w:rPr>
        <w:t xml:space="preserve">Opdracht 5 — Data Vault schetsen en afwegen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Hubs met stabiele bedrijfssleutels, en een expliciete verantwoording waarom die stabiel zijn.</w:t>
      </w:r>
    </w:p>
    <w:p>
      <w:pPr>
        <w:pStyle w:val="ListParagraph"/>
        <w:numPr>
          <w:ilvl w:val="0"/>
          <w:numId w:val="2"/>
        </w:numPr>
        <w:spacing w:after="70" w:line="280"/>
      </w:pPr>
      <w:r>
        <w:rPr>
          <w:rFonts w:ascii="Calibri" w:cs="Calibri" w:eastAsia="Calibri" w:hAnsi="Calibri"/>
          <w:color w:val="0E1A1C"/>
          <w:sz w:val="21"/>
          <w:szCs w:val="21"/>
        </w:rPr>
        <w:t xml:space="preserve">Gescheiden satellites voor legacy en platform — dat is precies waarvoor de aanpak bedoeld is.</w:t>
      </w:r>
    </w:p>
    <w:p>
      <w:pPr>
        <w:pStyle w:val="ListParagraph"/>
        <w:numPr>
          <w:ilvl w:val="0"/>
          <w:numId w:val="2"/>
        </w:numPr>
        <w:spacing w:after="70" w:line="280"/>
      </w:pPr>
      <w:r>
        <w:rPr>
          <w:rFonts w:ascii="Calibri" w:cs="Calibri" w:eastAsia="Calibri" w:hAnsi="Calibri"/>
          <w:color w:val="0E1A1C"/>
          <w:sz w:val="21"/>
          <w:szCs w:val="21"/>
        </w:rPr>
        <w:t xml:space="preserve">Een herkomstverantwoording die laat zien hoe bron en laadmoment aantoonbaar worden.</w:t>
      </w:r>
    </w:p>
    <w:p>
      <w:pPr>
        <w:pStyle w:val="ListParagraph"/>
        <w:numPr>
          <w:ilvl w:val="0"/>
          <w:numId w:val="2"/>
        </w:numPr>
        <w:spacing w:after="70" w:line="280"/>
      </w:pPr>
      <w:r>
        <w:rPr>
          <w:rFonts w:ascii="Calibri" w:cs="Calibri" w:eastAsia="Calibri" w:hAnsi="Calibri"/>
          <w:color w:val="0E1A1C"/>
          <w:sz w:val="21"/>
          <w:szCs w:val="21"/>
        </w:rPr>
        <w:t xml:space="preserve">Een advies met drie argumenten voor én drie tegen, waarbij de volwassenheid van de organisatie als tegenargument telt.</w:t>
      </w:r>
    </w:p>
    <w:p>
      <w:pPr>
        <w:pStyle w:val="ListParagraph"/>
        <w:numPr>
          <w:ilvl w:val="0"/>
          <w:numId w:val="2"/>
        </w:numPr>
        <w:spacing w:after="70" w:line="280"/>
      </w:pPr>
      <w:r>
        <w:rPr>
          <w:rFonts w:ascii="Calibri" w:cs="Calibri" w:eastAsia="Calibri" w:hAnsi="Calibri"/>
          <w:color w:val="0E1A1C"/>
          <w:sz w:val="21"/>
          <w:szCs w:val="21"/>
        </w:rPr>
        <w:t xml:space="preserve">Erkenning dat er alsnog een dimensionele laag bovenop komt.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Alleen argumenten vóór. Een advies zonder tegenkant is een pleidooi.</w:t>
      </w:r>
    </w:p>
    <w:p>
      <w:pPr>
        <w:pStyle w:val="ListParagraph"/>
        <w:numPr>
          <w:ilvl w:val="0"/>
          <w:numId w:val="2"/>
        </w:numPr>
        <w:spacing w:after="70" w:line="280"/>
      </w:pPr>
      <w:r>
        <w:rPr>
          <w:rFonts w:ascii="Calibri" w:cs="Calibri" w:eastAsia="Calibri" w:hAnsi="Calibri"/>
          <w:color w:val="0E1A1C"/>
          <w:sz w:val="21"/>
          <w:szCs w:val="21"/>
        </w:rPr>
        <w:t xml:space="preserve">Satellites samenvoegen over bronnen heen; dan vervalt de belangrijkste opbrengst.</w:t>
      </w:r>
    </w:p>
    <w:p>
      <w:pPr>
        <w:pStyle w:val="ListParagraph"/>
        <w:numPr>
          <w:ilvl w:val="0"/>
          <w:numId w:val="2"/>
        </w:numPr>
        <w:spacing w:after="70" w:line="280"/>
      </w:pPr>
      <w:r>
        <w:rPr>
          <w:rFonts w:ascii="Calibri" w:cs="Calibri" w:eastAsia="Calibri" w:hAnsi="Calibri"/>
          <w:color w:val="0E1A1C"/>
          <w:sz w:val="21"/>
          <w:szCs w:val="21"/>
        </w:rPr>
        <w:t xml:space="preserve">Data Vault presenteren als vervanging van het rapportagemodel.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Zou je dit adviseren aan een organisatie die op volwassenheidsniveau 1 tot 2 zit? Verdedig beide antwoorden.</w:t>
            </w:r>
          </w:p>
        </w:tc>
      </w:tr>
    </w:tbl>
    <w:p>
      <w:pPr>
        <w:pStyle w:val="Heading2"/>
        <w:spacing w:after="140" w:before="340"/>
      </w:pPr>
      <w:r>
        <w:rPr>
          <w:rFonts w:ascii="Cambria" w:cs="Cambria" w:eastAsia="Cambria" w:hAnsi="Cambria"/>
          <w:b/>
          <w:bCs/>
          <w:color w:val="0E1A1C"/>
          <w:sz w:val="26"/>
          <w:szCs w:val="26"/>
        </w:rPr>
        <w:t xml:space="preserve">Opdracht 6 — De bitemporele casus</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Drie vragen correct beantwoord: oud adres gold niet meer op 1 april, de rapportage toonde het oude adres, en die rapportage was correct gegeven wat men toen wist.</w:t>
      </w:r>
    </w:p>
    <w:p>
      <w:pPr>
        <w:pStyle w:val="ListParagraph"/>
        <w:numPr>
          <w:ilvl w:val="0"/>
          <w:numId w:val="2"/>
        </w:numPr>
        <w:spacing w:after="70" w:line="280"/>
      </w:pPr>
      <w:r>
        <w:rPr>
          <w:rFonts w:ascii="Calibri" w:cs="Calibri" w:eastAsia="Calibri" w:hAnsi="Calibri"/>
          <w:color w:val="0E1A1C"/>
          <w:sz w:val="21"/>
          <w:szCs w:val="21"/>
        </w:rPr>
        <w:t xml:space="preserve">Een tabelstructuur met vier datumvelden: geldig van, geldig tot, geregistreerd van, geregistreerd tot.</w:t>
      </w:r>
    </w:p>
    <w:p>
      <w:pPr>
        <w:pStyle w:val="ListParagraph"/>
        <w:numPr>
          <w:ilvl w:val="0"/>
          <w:numId w:val="2"/>
        </w:numPr>
        <w:spacing w:after="70" w:line="280"/>
      </w:pPr>
      <w:r>
        <w:rPr>
          <w:rFonts w:ascii="Calibri" w:cs="Calibri" w:eastAsia="Calibri" w:hAnsi="Calibri"/>
          <w:color w:val="0E1A1C"/>
          <w:sz w:val="21"/>
          <w:szCs w:val="21"/>
        </w:rPr>
        <w:t xml:space="preserve">Het gevolg van alleen geldigheidstijd concreet gemaakt: de eigen rapportage lijkt achteraf fout.</w:t>
      </w:r>
    </w:p>
    <w:p>
      <w:pPr>
        <w:pStyle w:val="ListParagraph"/>
        <w:numPr>
          <w:ilvl w:val="0"/>
          <w:numId w:val="2"/>
        </w:numPr>
        <w:spacing w:after="70" w:line="280"/>
      </w:pPr>
      <w:r>
        <w:rPr>
          <w:rFonts w:ascii="Calibri" w:cs="Calibri" w:eastAsia="Calibri" w:hAnsi="Calibri"/>
          <w:color w:val="0E1A1C"/>
          <w:sz w:val="21"/>
          <w:szCs w:val="21"/>
        </w:rPr>
        <w:t xml:space="preserve">Twee aanvullende processen genoemd, bijvoorbeeld scheidingsverwerking en collectieve waardeoverdracht.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tweede en derde vraag samennemen. Juist het verschil is de oefening.</w:t>
      </w:r>
    </w:p>
    <w:p>
      <w:pPr>
        <w:pStyle w:val="ListParagraph"/>
        <w:numPr>
          <w:ilvl w:val="0"/>
          <w:numId w:val="2"/>
        </w:numPr>
        <w:spacing w:after="70" w:line="280"/>
      </w:pPr>
      <w:r>
        <w:rPr>
          <w:rFonts w:ascii="Calibri" w:cs="Calibri" w:eastAsia="Calibri" w:hAnsi="Calibri"/>
          <w:color w:val="0E1A1C"/>
          <w:sz w:val="21"/>
          <w:szCs w:val="21"/>
        </w:rPr>
        <w:t xml:space="preserve">Eén datumpaar modelleren en denken dat het bitemporeel is.</w:t>
      </w:r>
    </w:p>
    <w:p>
      <w:pPr>
        <w:pStyle w:val="ListParagraph"/>
        <w:numPr>
          <w:ilvl w:val="0"/>
          <w:numId w:val="2"/>
        </w:numPr>
        <w:spacing w:after="70" w:line="280"/>
      </w:pPr>
      <w:r>
        <w:rPr>
          <w:rFonts w:ascii="Calibri" w:cs="Calibri" w:eastAsia="Calibri" w:hAnsi="Calibri"/>
          <w:color w:val="0E1A1C"/>
          <w:sz w:val="21"/>
          <w:szCs w:val="21"/>
        </w:rPr>
        <w:t xml:space="preserve">Abstract blijven praten; wijs op het tijdlijnvel.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van de drie vragen stelt een toezichthouder, en waarom is dat de lastigste?</w:t>
            </w:r>
          </w:p>
        </w:tc>
      </w:tr>
    </w:tbl>
    <w:p>
      <w:pPr>
        <w:pStyle w:val="Heading2"/>
        <w:spacing w:after="140" w:before="340"/>
      </w:pPr>
      <w:r>
        <w:rPr>
          <w:rFonts w:ascii="Cambria" w:cs="Cambria" w:eastAsia="Cambria" w:hAnsi="Cambria"/>
          <w:b/>
          <w:bCs/>
          <w:color w:val="0E1A1C"/>
          <w:sz w:val="26"/>
          <w:szCs w:val="26"/>
        </w:rPr>
        <w:t xml:space="preserve">Opdracht 7 — De modelreview als gesprek</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zes criteria langsgelopen, inclusief het tijdcriterium dat het vaakst wordt overgeslagen.</w:t>
      </w:r>
    </w:p>
    <w:p>
      <w:pPr>
        <w:pStyle w:val="ListParagraph"/>
        <w:numPr>
          <w:ilvl w:val="0"/>
          <w:numId w:val="2"/>
        </w:numPr>
        <w:spacing w:after="70" w:line="280"/>
      </w:pPr>
      <w:r>
        <w:rPr>
          <w:rFonts w:ascii="Calibri" w:cs="Calibri" w:eastAsia="Calibri" w:hAnsi="Calibri"/>
          <w:color w:val="0E1A1C"/>
          <w:sz w:val="21"/>
          <w:szCs w:val="21"/>
        </w:rPr>
        <w:t xml:space="preserve">Drie bevindingen gekozen op impact, niet op volgorde van vinden.</w:t>
      </w:r>
    </w:p>
    <w:p>
      <w:pPr>
        <w:pStyle w:val="ListParagraph"/>
        <w:numPr>
          <w:ilvl w:val="0"/>
          <w:numId w:val="2"/>
        </w:numPr>
        <w:spacing w:after="70" w:line="280"/>
      </w:pPr>
      <w:r>
        <w:rPr>
          <w:rFonts w:ascii="Calibri" w:cs="Calibri" w:eastAsia="Calibri" w:hAnsi="Calibri"/>
          <w:color w:val="0E1A1C"/>
          <w:sz w:val="21"/>
          <w:szCs w:val="21"/>
        </w:rPr>
        <w:t xml:space="preserve">Bevindingen geformuleerd als vraag.</w:t>
      </w:r>
    </w:p>
    <w:p>
      <w:pPr>
        <w:pStyle w:val="ListParagraph"/>
        <w:numPr>
          <w:ilvl w:val="0"/>
          <w:numId w:val="2"/>
        </w:numPr>
        <w:spacing w:after="70" w:line="280"/>
      </w:pPr>
      <w:r>
        <w:rPr>
          <w:rFonts w:ascii="Calibri" w:cs="Calibri" w:eastAsia="Calibri" w:hAnsi="Calibri"/>
          <w:color w:val="0E1A1C"/>
          <w:sz w:val="21"/>
          <w:szCs w:val="21"/>
        </w:rPr>
        <w:t xml:space="preserve">Een opening die iets benoemt dat werkt, en die geloofwaardig is.</w:t>
      </w:r>
    </w:p>
    <w:p>
      <w:pPr>
        <w:pStyle w:val="ListParagraph"/>
        <w:numPr>
          <w:ilvl w:val="0"/>
          <w:numId w:val="2"/>
        </w:numPr>
        <w:spacing w:after="70" w:line="280"/>
      </w:pPr>
      <w:r>
        <w:rPr>
          <w:rFonts w:ascii="Calibri" w:cs="Calibri" w:eastAsia="Calibri" w:hAnsi="Calibri"/>
          <w:color w:val="0E1A1C"/>
          <w:sz w:val="21"/>
          <w:szCs w:val="21"/>
        </w:rPr>
        <w:t xml:space="preserve">Een vastlegging van wat er is besproken en wat de ontwerper ermee gaat doen.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Vijftien bevindingen presenteren. Die worden niet verwerkt.</w:t>
      </w:r>
    </w:p>
    <w:p>
      <w:pPr>
        <w:pStyle w:val="ListParagraph"/>
        <w:numPr>
          <w:ilvl w:val="0"/>
          <w:numId w:val="2"/>
        </w:numPr>
        <w:spacing w:after="70" w:line="280"/>
      </w:pPr>
      <w:r>
        <w:rPr>
          <w:rFonts w:ascii="Calibri" w:cs="Calibri" w:eastAsia="Calibri" w:hAnsi="Calibri"/>
          <w:color w:val="0E1A1C"/>
          <w:sz w:val="21"/>
          <w:szCs w:val="21"/>
        </w:rPr>
        <w:t xml:space="preserve">Openen met de zwaarste bevinding; de rest van het gesprek is dan verdediging.</w:t>
      </w:r>
    </w:p>
    <w:p>
      <w:pPr>
        <w:pStyle w:val="ListParagraph"/>
        <w:numPr>
          <w:ilvl w:val="0"/>
          <w:numId w:val="2"/>
        </w:numPr>
        <w:spacing w:after="70" w:line="280"/>
      </w:pPr>
      <w:r>
        <w:rPr>
          <w:rFonts w:ascii="Calibri" w:cs="Calibri" w:eastAsia="Calibri" w:hAnsi="Calibri"/>
          <w:color w:val="0E1A1C"/>
          <w:sz w:val="21"/>
          <w:szCs w:val="21"/>
        </w:rPr>
        <w:t xml:space="preserve">De vastlegging overslaan, waarna dezelfde review zich over drie maanden herhaalt.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 reageerde de ontwerper op je eerste vraag? Wat zegt dat over je formulering?</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Wat is het grein van een feitentabel?</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Wat één rij in de feitentabel voorstelt</w:t>
      </w:r>
    </w:p>
    <w:p>
      <w:pPr>
        <w:spacing w:after="40" w:line="275"/>
        <w:ind w:left="420"/>
      </w:pPr>
      <w:r>
        <w:rPr>
          <w:rFonts w:ascii="Calibri" w:cs="Calibri" w:eastAsia="Calibri" w:hAnsi="Calibri"/>
          <w:color w:val="5F7375"/>
          <w:sz w:val="19"/>
          <w:szCs w:val="19"/>
        </w:rPr>
        <w:t xml:space="preserve">Het is de belangrijkste beslissing in een dimensioneel model: het bepaalt wat analyseerbaar is en wat voorgoed onbereikbaar.</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Waarom kies je het fijnste grein dat je kunt dragen?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Aggregeren kan altijd nog; uitsplitsen wat je nooit hebt vastgelegd niet.</w:t>
      </w:r>
    </w:p>
    <w:p>
      <w:pPr>
        <w:spacing w:after="40" w:line="275"/>
        <w:ind w:left="420"/>
      </w:pPr>
      <w:r>
        <w:rPr>
          <w:rFonts w:ascii="Calibri" w:cs="Calibri" w:eastAsia="Calibri" w:hAnsi="Calibri"/>
          <w:color w:val="5F7375"/>
          <w:sz w:val="19"/>
          <w:szCs w:val="19"/>
        </w:rPr>
        <w:t xml:space="preserve">Wie het maandtotaal opslaat, kan nooit meer zien of er binnen een maand meerdere deelbetalingen waren.</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Een invoerfout in een geboortedatum wordt gecorrigeerd. Welk SCD-type past?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Type 1</w:t>
      </w:r>
    </w:p>
    <w:p>
      <w:pPr>
        <w:spacing w:after="40" w:line="275"/>
        <w:ind w:left="420"/>
      </w:pPr>
      <w:r>
        <w:rPr>
          <w:rFonts w:ascii="Calibri" w:cs="Calibri" w:eastAsia="Calibri" w:hAnsi="Calibri"/>
          <w:color w:val="5F7375"/>
          <w:sz w:val="19"/>
          <w:szCs w:val="19"/>
        </w:rPr>
        <w:t xml:space="preserve">Een fout hoort nooit gegolden te hebben, dus overschrijven is juist. Bij een verhuizing zou type 2 passen.</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Een deelnemer verhuist. Welk SCD-type is passend voor het adres?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Type 2</w:t>
      </w:r>
    </w:p>
    <w:p>
      <w:pPr>
        <w:spacing w:after="40" w:line="275"/>
        <w:ind w:left="420"/>
      </w:pPr>
      <w:r>
        <w:rPr>
          <w:rFonts w:ascii="Calibri" w:cs="Calibri" w:eastAsia="Calibri" w:hAnsi="Calibri"/>
          <w:color w:val="5F7375"/>
          <w:sz w:val="19"/>
          <w:szCs w:val="19"/>
        </w:rPr>
        <w:t xml:space="preserve">De deelnemer wóónde toen daar; een rapportage over vorig jaar hoort het oude adres te tonen.</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Wat bevat een hub in Data Vault?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bedrijfssleutel van een kernobject</w:t>
      </w:r>
    </w:p>
    <w:p>
      <w:pPr>
        <w:spacing w:after="40" w:line="275"/>
        <w:ind w:left="420"/>
      </w:pPr>
      <w:r>
        <w:rPr>
          <w:rFonts w:ascii="Calibri" w:cs="Calibri" w:eastAsia="Calibri" w:hAnsi="Calibri"/>
          <w:color w:val="5F7375"/>
          <w:sz w:val="19"/>
          <w:szCs w:val="19"/>
        </w:rPr>
        <w:t xml:space="preserve">Beschrijvende attributen zitten in satellites, relaties in links.</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Wanneer loont Data Vault niet?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Bij één stabiel bronsysteem en een beperkt aantal afnemers</w:t>
      </w:r>
    </w:p>
    <w:p>
      <w:pPr>
        <w:spacing w:after="40" w:line="275"/>
        <w:ind w:left="420"/>
      </w:pPr>
      <w:r>
        <w:rPr>
          <w:rFonts w:ascii="Calibri" w:cs="Calibri" w:eastAsia="Calibri" w:hAnsi="Calibri"/>
          <w:color w:val="5F7375"/>
          <w:sz w:val="19"/>
          <w:szCs w:val="19"/>
        </w:rPr>
        <w:t xml:space="preserve">De extra complexiteit levert dan niets op, en een half toegepaste Data Vault is slechter dan een goed genormaliseerd model.</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Wat is het verschil tussen geldigheidstijd en registratietijd?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Geldigheidstijd is wanneer iets gold; registratietijd is vanaf wanneer wij het wisten.</w:t>
      </w:r>
    </w:p>
    <w:p>
      <w:pPr>
        <w:spacing w:after="40" w:line="275"/>
        <w:ind w:left="420"/>
      </w:pPr>
      <w:r>
        <w:rPr>
          <w:rFonts w:ascii="Calibri" w:cs="Calibri" w:eastAsia="Calibri" w:hAnsi="Calibri"/>
          <w:color w:val="5F7375"/>
          <w:sz w:val="19"/>
          <w:szCs w:val="19"/>
        </w:rPr>
        <w:t xml:space="preserve">Ze vallen zelden samen: verhuisd op 1 maart, doorgegeven op 18 april.</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Welke vraag vereist bitemporele vastlegging?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Klopte onze rapportage van 1 april, gegeven wat we toen wisten?</w:t>
      </w:r>
    </w:p>
    <w:p>
      <w:pPr>
        <w:spacing w:after="40" w:line="275"/>
        <w:ind w:left="420"/>
      </w:pPr>
      <w:r>
        <w:rPr>
          <w:rFonts w:ascii="Calibri" w:cs="Calibri" w:eastAsia="Calibri" w:hAnsi="Calibri"/>
          <w:color w:val="5F7375"/>
          <w:sz w:val="19"/>
          <w:szCs w:val="19"/>
        </w:rPr>
        <w:t xml:space="preserve">Dit is de vraag van een toezichthouder, en zij vraagt beide tijdlijnen.</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Wat is het risico van alleen geldigheidstijd vastleggen?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Historische rapportages zijn niet te reproduceren, waardoor de organisatie fouten lijkt te hebben gemaakt die zij niet maakte.</w:t>
      </w:r>
    </w:p>
    <w:p>
      <w:pPr>
        <w:spacing w:after="40" w:line="275"/>
        <w:ind w:left="420"/>
      </w:pPr>
      <w:r>
        <w:rPr>
          <w:rFonts w:ascii="Calibri" w:cs="Calibri" w:eastAsia="Calibri" w:hAnsi="Calibri"/>
          <w:color w:val="5F7375"/>
          <w:sz w:val="19"/>
          <w:szCs w:val="19"/>
        </w:rPr>
        <w:t xml:space="preserve">Een van de duurdere modelleerfouten die er bestaan.</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Welk feittype past bij een waardeoverdracht met vaste mijlpalen?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Accumulating snapshot</w:t>
      </w:r>
    </w:p>
    <w:p>
      <w:pPr>
        <w:spacing w:after="40" w:line="275"/>
        <w:ind w:left="420"/>
      </w:pPr>
      <w:r>
        <w:rPr>
          <w:rFonts w:ascii="Calibri" w:cs="Calibri" w:eastAsia="Calibri" w:hAnsi="Calibri"/>
          <w:color w:val="5F7375"/>
          <w:sz w:val="19"/>
          <w:szCs w:val="19"/>
        </w:rPr>
        <w:t xml:space="preserve">Doorlooptijden zijn er direct uit af te leiden zonder gebeurtenissen achteraf aan elkaar te knopen.</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Wat maakt de keten CDM-LDM-PDM waardevol?</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Dat ze aan elkaar hangen, zodat impact van een wijziging te bepalen is</w:t>
      </w:r>
    </w:p>
    <w:p>
      <w:pPr>
        <w:spacing w:after="40" w:line="275"/>
        <w:ind w:left="420"/>
      </w:pPr>
      <w:r>
        <w:rPr>
          <w:rFonts w:ascii="Calibri" w:cs="Calibri" w:eastAsia="Calibri" w:hAnsi="Calibri"/>
          <w:color w:val="5F7375"/>
          <w:sz w:val="19"/>
          <w:szCs w:val="19"/>
        </w:rPr>
        <w:t xml:space="preserve">Zonder traceerbaarheid is de impactanalyse bij een begripswijziging niet uit te voeren.</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Hoe open je een modelreview?</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Met iets dat werkt, en dat je meent</w:t>
      </w:r>
    </w:p>
    <w:p>
      <w:pPr>
        <w:spacing w:after="40" w:line="275"/>
        <w:ind w:left="420"/>
      </w:pPr>
      <w:r>
        <w:rPr>
          <w:rFonts w:ascii="Calibri" w:cs="Calibri" w:eastAsia="Calibri" w:hAnsi="Calibri"/>
          <w:color w:val="5F7375"/>
          <w:sz w:val="19"/>
          <w:szCs w:val="19"/>
        </w:rPr>
        <w:t xml:space="preserve">Wie opent met een bevinding, krijgt de rest van het gesprek verdediging.</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Kan een organisatie zonder conceptueel model toch consistente betekenis hebben?</w:t>
      </w:r>
    </w:p>
    <w:p>
      <w:pPr>
        <w:pStyle w:val="ListParagraph"/>
        <w:numPr>
          <w:ilvl w:val="0"/>
          <w:numId w:val="3"/>
        </w:numPr>
        <w:spacing w:after="70" w:line="280"/>
      </w:pPr>
      <w:r>
        <w:rPr>
          <w:rFonts w:ascii="Calibri" w:cs="Calibri" w:eastAsia="Calibri" w:hAnsi="Calibri"/>
          <w:color w:val="0E1A1C"/>
          <w:sz w:val="21"/>
          <w:szCs w:val="21"/>
        </w:rPr>
        <w:t xml:space="preserve">Is Data Vault een architectuurkeuze of een manier om de modelleerkeuze uit te stellen?</w:t>
      </w:r>
    </w:p>
    <w:p>
      <w:pPr>
        <w:pStyle w:val="ListParagraph"/>
        <w:numPr>
          <w:ilvl w:val="0"/>
          <w:numId w:val="3"/>
        </w:numPr>
        <w:spacing w:after="70" w:line="280"/>
      </w:pPr>
      <w:r>
        <w:rPr>
          <w:rFonts w:ascii="Calibri" w:cs="Calibri" w:eastAsia="Calibri" w:hAnsi="Calibri"/>
          <w:color w:val="0E1A1C"/>
          <w:sz w:val="21"/>
          <w:szCs w:val="21"/>
        </w:rPr>
        <w:t xml:space="preserve">Wie zou moeten beslissen over het grein van een feitentabel: de business of de architect?</w:t>
      </w:r>
    </w:p>
    <w:p>
      <w:pPr>
        <w:pStyle w:val="ListParagraph"/>
        <w:numPr>
          <w:ilvl w:val="0"/>
          <w:numId w:val="3"/>
        </w:numPr>
        <w:spacing w:after="70" w:line="280"/>
      </w:pPr>
      <w:r>
        <w:rPr>
          <w:rFonts w:ascii="Calibri" w:cs="Calibri" w:eastAsia="Calibri" w:hAnsi="Calibri"/>
          <w:color w:val="0E1A1C"/>
          <w:sz w:val="21"/>
          <w:szCs w:val="21"/>
        </w:rPr>
        <w:t xml:space="preserve">Wat zegt het over een organisatie als zij haar eigen rapportage van vorig jaar niet kan reproduceren?</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opdracht 3 uitbreiden met een conformed dimension die met een tweede sterschema wordt gedeeld.</w:t>
      </w:r>
    </w:p>
    <w:p>
      <w:pPr>
        <w:pStyle w:val="ListParagraph"/>
        <w:numPr>
          <w:ilvl w:val="0"/>
          <w:numId w:val="2"/>
        </w:numPr>
        <w:spacing w:after="70" w:line="280"/>
      </w:pPr>
      <w:r>
        <w:rPr>
          <w:rFonts w:ascii="Calibri" w:cs="Calibri" w:eastAsia="Calibri" w:hAnsi="Calibri"/>
          <w:color w:val="0E1A1C"/>
          <w:sz w:val="21"/>
          <w:szCs w:val="21"/>
        </w:rPr>
        <w:t xml:space="preserve">Vraag om bij opdracht 4 SCD type 6 uit te werken en te beoordelen of de complexiteit loont.</w:t>
      </w:r>
    </w:p>
    <w:p>
      <w:pPr>
        <w:pStyle w:val="ListParagraph"/>
        <w:numPr>
          <w:ilvl w:val="0"/>
          <w:numId w:val="2"/>
        </w:numPr>
        <w:spacing w:after="70" w:line="280"/>
      </w:pPr>
      <w:r>
        <w:rPr>
          <w:rFonts w:ascii="Calibri" w:cs="Calibri" w:eastAsia="Calibri" w:hAnsi="Calibri"/>
          <w:color w:val="0E1A1C"/>
          <w:sz w:val="21"/>
          <w:szCs w:val="21"/>
        </w:rPr>
        <w:t xml:space="preserve">Laat opdracht 6 uitbreiden met een correctie met terugwerkende kracht: wat gebeurt er dan met beide tijdlijnen?</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Geef bij opdracht 3 het grein voor; het ontwerpen van feit en dimensies is dan de oefening.</w:t>
      </w:r>
    </w:p>
    <w:p>
      <w:pPr>
        <w:pStyle w:val="ListParagraph"/>
        <w:numPr>
          <w:ilvl w:val="0"/>
          <w:numId w:val="2"/>
        </w:numPr>
        <w:spacing w:after="70" w:line="280"/>
      </w:pPr>
      <w:r>
        <w:rPr>
          <w:rFonts w:ascii="Calibri" w:cs="Calibri" w:eastAsia="Calibri" w:hAnsi="Calibri"/>
          <w:color w:val="0E1A1C"/>
          <w:sz w:val="21"/>
          <w:szCs w:val="21"/>
        </w:rPr>
        <w:t xml:space="preserve">Beperk opdracht 4 tot zes attributen.</w:t>
      </w:r>
    </w:p>
    <w:p>
      <w:pPr>
        <w:pStyle w:val="ListParagraph"/>
        <w:numPr>
          <w:ilvl w:val="0"/>
          <w:numId w:val="2"/>
        </w:numPr>
        <w:spacing w:after="70" w:line="280"/>
      </w:pPr>
      <w:r>
        <w:rPr>
          <w:rFonts w:ascii="Calibri" w:cs="Calibri" w:eastAsia="Calibri" w:hAnsi="Calibri"/>
          <w:color w:val="0E1A1C"/>
          <w:sz w:val="21"/>
          <w:szCs w:val="21"/>
        </w:rPr>
        <w:t xml:space="preserve">Laat opdracht 5 alleen de afweging maken, zonder de schets.</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Data Vault kunnen bouwen voor het examen?"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Je moet hub, link en satellite kunnen benoemen en weten wanneer de aanpak passend is.</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notatie gebruikt het examen?"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examen toetst begrippen, niet notatie. In je opdracht kies je op publiek.</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een sneeuwvlok fout?"</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maar hij vraagt een reden. Zonder aanwijsbare reden is de ster de betere keuze.</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"Hoeveel SCD-types moet ik kennen?"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Type 0 tot en met 3, met een scenario per type. Type 6 is nuttige praktijkkennis maar geen examenstof.</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12 — Conceptueel, logisch en fysiek modelleren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Conceptueel, logisch en fysiek modelleren — Docentenhandleiding</dc:title>
  <dc:creator>Ductus B.V.</dc:creator>
  <dc:description>Cursusmateriaal datamanagement, data-analyse en data governance</dc:description>
  <cp:lastModifiedBy>Un-named</cp:lastModifiedBy>
  <cp:revision>1</cp:revision>
  <dcterms:created xsi:type="dcterms:W3CDTF">2026-08-05T10:35:03.098Z</dcterms:created>
  <dcterms:modified xsi:type="dcterms:W3CDTF">2026-08-05T10:35:03.098Z</dcterms:modified>
</cp:coreProperties>
</file>

<file path=docProps/custom.xml><?xml version="1.0" encoding="utf-8"?>
<Properties xmlns="http://schemas.openxmlformats.org/officeDocument/2006/custom-properties" xmlns:vt="http://schemas.openxmlformats.org/officeDocument/2006/docPropsVTypes"/>
</file>