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14</w:t>
      </w:r>
    </w:p>
    <w:p>
      <w:pPr>
        <w:spacing w:after="120"/>
      </w:pPr>
      <w:r>
        <w:rPr>
          <w:rFonts w:ascii="Cambria" w:cs="Cambria" w:eastAsia="Cambria" w:hAnsi="Cambria"/>
          <w:b/>
          <w:bCs/>
          <w:color w:val="0E1A1C"/>
          <w:sz w:val="56"/>
          <w:szCs w:val="56"/>
        </w:rPr>
        <w:t xml:space="preserve">Master- en referentiedatamanagement</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5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Dataset met dubbele deelnemers, drievoudige werkgever, codelijstoverzicht</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14 gelezen; deel 11, 12 en 13 afgerond.</w:t>
      </w:r>
    </w:p>
    <w:p>
      <w:pPr>
        <w:pStyle w:val="ListParagraph"/>
        <w:numPr>
          <w:ilvl w:val="0"/>
          <w:numId w:val="2"/>
        </w:numPr>
        <w:spacing w:after="70" w:line="280"/>
      </w:pPr>
      <w:r>
        <w:rPr>
          <w:rFonts w:ascii="Calibri" w:cs="Calibri" w:eastAsia="Calibri" w:hAnsi="Calibri"/>
          <w:color w:val="0E1A1C"/>
          <w:sz w:val="21"/>
          <w:szCs w:val="21"/>
        </w:rPr>
        <w:t xml:space="preserve">Opdracht 1 en 2 gemaakt, en werkende toegang tot de capstonedataset. Controleer dat bij binnenkomst; opdracht 3 valt zonder dataset stil.</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De capstonedataset uit niveau 1: 61 dubbele deelnemers op naam plus geboortedatum, en de drievoudige werkgever Van Doorn Techniek met drie adressen.</w:t>
      </w:r>
    </w:p>
    <w:p>
      <w:pPr>
        <w:pStyle w:val="ListParagraph"/>
        <w:numPr>
          <w:ilvl w:val="0"/>
          <w:numId w:val="2"/>
        </w:numPr>
        <w:spacing w:after="70" w:line="280"/>
      </w:pPr>
      <w:r>
        <w:rPr>
          <w:rFonts w:ascii="Calibri" w:cs="Calibri" w:eastAsia="Calibri" w:hAnsi="Calibri"/>
          <w:color w:val="0E1A1C"/>
          <w:sz w:val="21"/>
          <w:szCs w:val="21"/>
        </w:rPr>
        <w:t xml:space="preserve">Een overzicht van de drie werkgeverrecords naast elkaar, met per record de laatste wijzigingsdatum en de vulgraad per veld — dat maakt de botsing in opdracht 4 direct zichtbaar.</w:t>
      </w:r>
    </w:p>
    <w:p>
      <w:pPr>
        <w:pStyle w:val="ListParagraph"/>
        <w:numPr>
          <w:ilvl w:val="0"/>
          <w:numId w:val="2"/>
        </w:numPr>
        <w:spacing w:after="70" w:line="280"/>
      </w:pPr>
      <w:r>
        <w:rPr>
          <w:rFonts w:ascii="Calibri" w:cs="Calibri" w:eastAsia="Calibri" w:hAnsi="Calibri"/>
          <w:color w:val="0E1A1C"/>
          <w:sz w:val="21"/>
          <w:szCs w:val="21"/>
        </w:rPr>
        <w:t xml:space="preserve">Een codelijstoverzicht voor opdracht 6: vijf lijsten, waarvan één externe sectorindeling die in 2024 is gewijzigd, en twee systemen die verschillende codes voor hetzelfde dienstverband gebruiken.</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12 leverde de modellen, deel 13 de betekenis. Dit deel gaat over de identiteit van de objecten zelf. Deel 15 volgt met kwaliteit als proces; de queue-ontwerpvraag uit dit deel komt daar terug bij remediatie. Voor het specialistexamen Reference &amp; Master Data is dit het kerndeel.</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drie problemen, één noemer</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Zet dubbele deelnemers, drievoudige werkgever en codelijsten naast elkaar</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Stijlen en de twee kernvragen, bespreking opdracht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vraag of bronsystemen kunnen wijzigen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0:40–1:55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matchingregels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af dat de drempels asymmetrisch worden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2:10–3:05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survivorship</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botsing bij de drievoudige werkgever is het kernmoment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3:05–3:55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stewardship-workflow</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Stuur op de terugkoppeling en op de vraag wat als die niet kan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3:55–4:40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referentiedata</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Het wijzigingsscenario is het argument voor financiering</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4:40–5:00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en de zelftoets uitzetten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Masterdata afbakenen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Deelnemer, werkgever en regeling als masterdata; premiebetaling en deelname als transactiedata; sector, soort dienstverband en landcode als referentiedata.</w:t>
      </w:r>
    </w:p>
    <w:p>
      <w:pPr>
        <w:pStyle w:val="ListParagraph"/>
        <w:numPr>
          <w:ilvl w:val="0"/>
          <w:numId w:val="2"/>
        </w:numPr>
        <w:spacing w:after="70" w:line="280"/>
      </w:pPr>
      <w:r>
        <w:rPr>
          <w:rFonts w:ascii="Calibri" w:cs="Calibri" w:eastAsia="Calibri" w:hAnsi="Calibri"/>
          <w:color w:val="0E1A1C"/>
          <w:sz w:val="21"/>
          <w:szCs w:val="21"/>
        </w:rPr>
        <w:t xml:space="preserve">Contactpersoon herkend als twijfelgeval: masterdata bij de werkgever of attribuut daarvan.</w:t>
      </w:r>
    </w:p>
    <w:p>
      <w:pPr>
        <w:pStyle w:val="ListParagraph"/>
        <w:numPr>
          <w:ilvl w:val="0"/>
          <w:numId w:val="2"/>
        </w:numPr>
        <w:spacing w:after="70" w:line="280"/>
      </w:pPr>
      <w:r>
        <w:rPr>
          <w:rFonts w:ascii="Calibri" w:cs="Calibri" w:eastAsia="Calibri" w:hAnsi="Calibri"/>
          <w:color w:val="0E1A1C"/>
          <w:sz w:val="21"/>
          <w:szCs w:val="21"/>
        </w:rPr>
        <w:t xml:space="preserve">Regeling beargumenteerd, niet alleen ingedeeld — deelname én premie verwijzen ernaar.</w:t>
      </w:r>
    </w:p>
    <w:p>
      <w:pPr>
        <w:pStyle w:val="ListParagraph"/>
        <w:numPr>
          <w:ilvl w:val="0"/>
          <w:numId w:val="2"/>
        </w:numPr>
        <w:spacing w:after="70" w:line="280"/>
      </w:pPr>
      <w:r>
        <w:rPr>
          <w:rFonts w:ascii="Calibri" w:cs="Calibri" w:eastAsia="Calibri" w:hAnsi="Calibri"/>
          <w:color w:val="0E1A1C"/>
          <w:sz w:val="21"/>
          <w:szCs w:val="21"/>
        </w:rPr>
        <w:t xml:space="preserve">Owner per masterdata-entiteit op domeinniveau, beheerder per codelijst.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Alles wat een naam heeft masterdata noemen. Pas de verwijzingstoets toe.</w:t>
      </w:r>
    </w:p>
    <w:p>
      <w:pPr>
        <w:pStyle w:val="ListParagraph"/>
        <w:numPr>
          <w:ilvl w:val="0"/>
          <w:numId w:val="2"/>
        </w:numPr>
        <w:spacing w:after="70" w:line="280"/>
      </w:pPr>
      <w:r>
        <w:rPr>
          <w:rFonts w:ascii="Calibri" w:cs="Calibri" w:eastAsia="Calibri" w:hAnsi="Calibri"/>
          <w:color w:val="0E1A1C"/>
          <w:sz w:val="21"/>
          <w:szCs w:val="21"/>
        </w:rPr>
        <w:t xml:space="preserve">Regeling zonder argument als referentiedata bestempelen omdat de lijst kort is.</w:t>
      </w:r>
    </w:p>
    <w:p>
      <w:pPr>
        <w:pStyle w:val="ListParagraph"/>
        <w:numPr>
          <w:ilvl w:val="0"/>
          <w:numId w:val="2"/>
        </w:numPr>
        <w:spacing w:after="70" w:line="280"/>
      </w:pPr>
      <w:r>
        <w:rPr>
          <w:rFonts w:ascii="Calibri" w:cs="Calibri" w:eastAsia="Calibri" w:hAnsi="Calibri"/>
          <w:color w:val="0E1A1C"/>
          <w:sz w:val="21"/>
          <w:szCs w:val="21"/>
        </w:rPr>
        <w:t xml:space="preserve">De vraag wie erover gaat overslaan; dat is juist het onderscheid dat ertoe doet.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Is Regeling masterdata of referentiedata? Verdedig beide antwoorden en kies dan.</w:t>
            </w:r>
          </w:p>
        </w:tc>
      </w:tr>
    </w:tbl>
    <w:p>
      <w:pPr>
        <w:pStyle w:val="Heading2"/>
        <w:spacing w:after="140" w:before="340"/>
      </w:pPr>
      <w:r>
        <w:rPr>
          <w:rFonts w:ascii="Cambria" w:cs="Cambria" w:eastAsia="Cambria" w:hAnsi="Cambria"/>
          <w:b/>
          <w:bCs/>
          <w:color w:val="0E1A1C"/>
          <w:sz w:val="26"/>
          <w:szCs w:val="26"/>
        </w:rPr>
        <w:t xml:space="preserve">Opdracht 2 — MDM-stijl kiezen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Beide kernvragen beantwoord met nee voor Meridiaan, en de gevolgtrekking dat coexistence en transaction afvallen.</w:t>
      </w:r>
    </w:p>
    <w:p>
      <w:pPr>
        <w:pStyle w:val="ListParagraph"/>
        <w:numPr>
          <w:ilvl w:val="0"/>
          <w:numId w:val="2"/>
        </w:numPr>
        <w:spacing w:after="70" w:line="280"/>
      </w:pPr>
      <w:r>
        <w:rPr>
          <w:rFonts w:ascii="Calibri" w:cs="Calibri" w:eastAsia="Calibri" w:hAnsi="Calibri"/>
          <w:color w:val="0E1A1C"/>
          <w:sz w:val="21"/>
          <w:szCs w:val="21"/>
        </w:rPr>
        <w:t xml:space="preserve">Registry als startpunt met consolidation als volgende stap, met per stap een voorwaarde.</w:t>
      </w:r>
    </w:p>
    <w:p>
      <w:pPr>
        <w:pStyle w:val="ListParagraph"/>
        <w:numPr>
          <w:ilvl w:val="0"/>
          <w:numId w:val="2"/>
        </w:numPr>
        <w:spacing w:after="70" w:line="280"/>
      </w:pPr>
      <w:r>
        <w:rPr>
          <w:rFonts w:ascii="Calibri" w:cs="Calibri" w:eastAsia="Calibri" w:hAnsi="Calibri"/>
          <w:color w:val="0E1A1C"/>
          <w:sz w:val="21"/>
          <w:szCs w:val="21"/>
        </w:rPr>
        <w:t xml:space="preserve">Het risico van registry benoemd: zichtbaar maken zonder oplossen wordt als oplossing gepresenteerd.</w:t>
      </w:r>
    </w:p>
    <w:p>
      <w:pPr>
        <w:pStyle w:val="ListParagraph"/>
        <w:numPr>
          <w:ilvl w:val="0"/>
          <w:numId w:val="2"/>
        </w:numPr>
        <w:spacing w:after="70" w:line="280"/>
      </w:pPr>
      <w:r>
        <w:rPr>
          <w:rFonts w:ascii="Calibri" w:cs="Calibri" w:eastAsia="Calibri" w:hAnsi="Calibri"/>
          <w:color w:val="0E1A1C"/>
          <w:sz w:val="21"/>
          <w:szCs w:val="21"/>
        </w:rPr>
        <w:t xml:space="preserve">Erkenning dat de afronding van de migratie de afweging verandert.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Transaction kiezen omdat het het schoonst is. Vraag wat dat betekent voor een 35 jaar oude polisadministratie.</w:t>
      </w:r>
    </w:p>
    <w:p>
      <w:pPr>
        <w:pStyle w:val="ListParagraph"/>
        <w:numPr>
          <w:ilvl w:val="0"/>
          <w:numId w:val="2"/>
        </w:numPr>
        <w:spacing w:after="70" w:line="280"/>
      </w:pPr>
      <w:r>
        <w:rPr>
          <w:rFonts w:ascii="Calibri" w:cs="Calibri" w:eastAsia="Calibri" w:hAnsi="Calibri"/>
          <w:color w:val="0E1A1C"/>
          <w:sz w:val="21"/>
          <w:szCs w:val="21"/>
        </w:rPr>
        <w:t xml:space="preserve">Een groeipad zonder voorwaarden per stap. Dan blijft de organisatie hangen bij registry.</w:t>
      </w:r>
    </w:p>
    <w:p>
      <w:pPr>
        <w:pStyle w:val="ListParagraph"/>
        <w:numPr>
          <w:ilvl w:val="0"/>
          <w:numId w:val="2"/>
        </w:numPr>
        <w:spacing w:after="70" w:line="280"/>
      </w:pPr>
      <w:r>
        <w:rPr>
          <w:rFonts w:ascii="Calibri" w:cs="Calibri" w:eastAsia="Calibri" w:hAnsi="Calibri"/>
          <w:color w:val="0E1A1C"/>
          <w:sz w:val="21"/>
          <w:szCs w:val="21"/>
        </w:rPr>
        <w:t xml:space="preserve">De mandaatvraag overslaan; die bepaalt of terugschrijven realistisch is.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moet er waar zijn voordat Meridiaan de stap naar coexistence kan zetten?</w:t>
            </w:r>
          </w:p>
        </w:tc>
      </w:tr>
    </w:tbl>
    <w:p>
      <w:pPr>
        <w:pStyle w:val="Heading2"/>
        <w:spacing w:after="140" w:before="340"/>
      </w:pPr>
      <w:r>
        <w:rPr>
          <w:rFonts w:ascii="Cambria" w:cs="Cambria" w:eastAsia="Cambria" w:hAnsi="Cambria"/>
          <w:b/>
          <w:bCs/>
          <w:color w:val="0E1A1C"/>
          <w:sz w:val="26"/>
          <w:szCs w:val="26"/>
        </w:rPr>
        <w:t xml:space="preserve">Opdracht 3 — Matchingregels ontwerpen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61 dubbelen gevonden en vastgesteld dat ze overeenkomen op voornaam, achternaam en geboortedatum.</w:t>
      </w:r>
    </w:p>
    <w:p>
      <w:pPr>
        <w:pStyle w:val="ListParagraph"/>
        <w:numPr>
          <w:ilvl w:val="0"/>
          <w:numId w:val="2"/>
        </w:numPr>
        <w:spacing w:after="70" w:line="280"/>
      </w:pPr>
      <w:r>
        <w:rPr>
          <w:rFonts w:ascii="Calibri" w:cs="Calibri" w:eastAsia="Calibri" w:hAnsi="Calibri"/>
          <w:color w:val="0E1A1C"/>
          <w:sz w:val="21"/>
          <w:szCs w:val="21"/>
        </w:rPr>
        <w:t xml:space="preserve">Hybride aanpak: deterministisch op de combinatie naam plus geboortedatum, probabilistisch op de rest.</w:t>
      </w:r>
    </w:p>
    <w:p>
      <w:pPr>
        <w:pStyle w:val="ListParagraph"/>
        <w:numPr>
          <w:ilvl w:val="0"/>
          <w:numId w:val="2"/>
        </w:numPr>
        <w:spacing w:after="70" w:line="280"/>
      </w:pPr>
      <w:r>
        <w:rPr>
          <w:rFonts w:ascii="Calibri" w:cs="Calibri" w:eastAsia="Calibri" w:hAnsi="Calibri"/>
          <w:color w:val="0E1A1C"/>
          <w:sz w:val="21"/>
          <w:szCs w:val="21"/>
        </w:rPr>
        <w:t xml:space="preserve">Gewichten die geboortedatum zwaarder wegen dan postcode, met argument.</w:t>
      </w:r>
    </w:p>
    <w:p>
      <w:pPr>
        <w:pStyle w:val="ListParagraph"/>
        <w:numPr>
          <w:ilvl w:val="0"/>
          <w:numId w:val="2"/>
        </w:numPr>
        <w:spacing w:after="70" w:line="280"/>
      </w:pPr>
      <w:r>
        <w:rPr>
          <w:rFonts w:ascii="Calibri" w:cs="Calibri" w:eastAsia="Calibri" w:hAnsi="Calibri"/>
          <w:color w:val="0E1A1C"/>
          <w:sz w:val="21"/>
          <w:szCs w:val="21"/>
        </w:rPr>
        <w:t xml:space="preserve">Blocking op geboortejaar, met de erkenning dat dubbelen met een foutieve geboortedatum daarmee worden gemist.</w:t>
      </w:r>
    </w:p>
    <w:p>
      <w:pPr>
        <w:pStyle w:val="ListParagraph"/>
        <w:numPr>
          <w:ilvl w:val="0"/>
          <w:numId w:val="2"/>
        </w:numPr>
        <w:spacing w:after="70" w:line="280"/>
      </w:pPr>
      <w:r>
        <w:rPr>
          <w:rFonts w:ascii="Calibri" w:cs="Calibri" w:eastAsia="Calibri" w:hAnsi="Calibri"/>
          <w:color w:val="0E1A1C"/>
          <w:sz w:val="21"/>
          <w:szCs w:val="21"/>
        </w:rPr>
        <w:t xml:space="preserve">Drie zones met een ruime reviewzone, expliciet verantwoord vanuit de asymmetrische schade.</w:t>
      </w:r>
    </w:p>
    <w:p>
      <w:pPr>
        <w:pStyle w:val="ListParagraph"/>
        <w:numPr>
          <w:ilvl w:val="0"/>
          <w:numId w:val="2"/>
        </w:numPr>
        <w:spacing w:after="70" w:line="280"/>
      </w:pPr>
      <w:r>
        <w:rPr>
          <w:rFonts w:ascii="Calibri" w:cs="Calibri" w:eastAsia="Calibri" w:hAnsi="Calibri"/>
          <w:color w:val="0E1A1C"/>
          <w:sz w:val="21"/>
          <w:szCs w:val="21"/>
        </w:rPr>
        <w:t xml:space="preserve">Een instroomschatting die klopt met de orde van grootte.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Symmetrische drempels. Vraag wat een onterechte match kost bij een uitkering.</w:t>
      </w:r>
    </w:p>
    <w:p>
      <w:pPr>
        <w:pStyle w:val="ListParagraph"/>
        <w:numPr>
          <w:ilvl w:val="0"/>
          <w:numId w:val="2"/>
        </w:numPr>
        <w:spacing w:after="70" w:line="280"/>
      </w:pPr>
      <w:r>
        <w:rPr>
          <w:rFonts w:ascii="Calibri" w:cs="Calibri" w:eastAsia="Calibri" w:hAnsi="Calibri"/>
          <w:color w:val="0E1A1C"/>
          <w:sz w:val="21"/>
          <w:szCs w:val="21"/>
        </w:rPr>
        <w:t xml:space="preserve">Blocking op postcode zonder te benoemen wat je dan mist — verhuizingen vallen uit elkaar.</w:t>
      </w:r>
    </w:p>
    <w:p>
      <w:pPr>
        <w:pStyle w:val="ListParagraph"/>
        <w:numPr>
          <w:ilvl w:val="0"/>
          <w:numId w:val="2"/>
        </w:numPr>
        <w:spacing w:after="70" w:line="280"/>
      </w:pPr>
      <w:r>
        <w:rPr>
          <w:rFonts w:ascii="Calibri" w:cs="Calibri" w:eastAsia="Calibri" w:hAnsi="Calibri"/>
          <w:color w:val="0E1A1C"/>
          <w:sz w:val="21"/>
          <w:szCs w:val="21"/>
        </w:rPr>
        <w:t xml:space="preserve">Alleen deterministisch matchen; dan mis je alle tikfouten.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concreet met een deelnemer bij een onterechte match? Beschrijf de eerste drie gevolgen.</w:t>
            </w:r>
          </w:p>
        </w:tc>
      </w:tr>
    </w:tbl>
    <w:p>
      <w:pPr>
        <w:pStyle w:val="Heading2"/>
        <w:spacing w:after="140" w:before="340"/>
      </w:pPr>
      <w:r>
        <w:rPr>
          <w:rFonts w:ascii="Cambria" w:cs="Cambria" w:eastAsia="Cambria" w:hAnsi="Cambria"/>
          <w:b/>
          <w:bCs/>
          <w:color w:val="0E1A1C"/>
          <w:sz w:val="26"/>
          <w:szCs w:val="26"/>
        </w:rPr>
        <w:t xml:space="preserve">Opdracht 4 — Survivorship-regels</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Per veld een andere regel: bronprioriteit voor IBAN, recentheid voor adres, volledigheid voor telefoonnummer.</w:t>
      </w:r>
    </w:p>
    <w:p>
      <w:pPr>
        <w:pStyle w:val="ListParagraph"/>
        <w:numPr>
          <w:ilvl w:val="0"/>
          <w:numId w:val="2"/>
        </w:numPr>
        <w:spacing w:after="70" w:line="280"/>
      </w:pPr>
      <w:r>
        <w:rPr>
          <w:rFonts w:ascii="Calibri" w:cs="Calibri" w:eastAsia="Calibri" w:hAnsi="Calibri"/>
          <w:color w:val="0E1A1C"/>
          <w:sz w:val="21"/>
          <w:szCs w:val="21"/>
        </w:rPr>
        <w:t xml:space="preserve">De botsing bij de werkgever expliciet benoemd en beargumenteerd opgelost, niet weggemiddeld.</w:t>
      </w:r>
    </w:p>
    <w:p>
      <w:pPr>
        <w:pStyle w:val="ListParagraph"/>
        <w:numPr>
          <w:ilvl w:val="0"/>
          <w:numId w:val="2"/>
        </w:numPr>
        <w:spacing w:after="70" w:line="280"/>
      </w:pPr>
      <w:r>
        <w:rPr>
          <w:rFonts w:ascii="Calibri" w:cs="Calibri" w:eastAsia="Calibri" w:hAnsi="Calibri"/>
          <w:color w:val="0E1A1C"/>
          <w:sz w:val="21"/>
          <w:szCs w:val="21"/>
        </w:rPr>
        <w:t xml:space="preserve">Handmatige beslissing gereserveerd voor de velden met hoge foutkosten.</w:t>
      </w:r>
    </w:p>
    <w:p>
      <w:pPr>
        <w:pStyle w:val="ListParagraph"/>
        <w:numPr>
          <w:ilvl w:val="0"/>
          <w:numId w:val="2"/>
        </w:numPr>
        <w:spacing w:after="70" w:line="280"/>
      </w:pPr>
      <w:r>
        <w:rPr>
          <w:rFonts w:ascii="Calibri" w:cs="Calibri" w:eastAsia="Calibri" w:hAnsi="Calibri"/>
          <w:color w:val="0E1A1C"/>
          <w:sz w:val="21"/>
          <w:szCs w:val="21"/>
        </w:rPr>
        <w:t xml:space="preserve">De verliezende waarden bewaard met herkomst, zodat terugdraaien mogelijk blijft.</w:t>
      </w:r>
    </w:p>
    <w:p>
      <w:pPr>
        <w:pStyle w:val="ListParagraph"/>
        <w:numPr>
          <w:ilvl w:val="0"/>
          <w:numId w:val="2"/>
        </w:numPr>
        <w:spacing w:after="70" w:line="280"/>
      </w:pPr>
      <w:r>
        <w:rPr>
          <w:rFonts w:ascii="Calibri" w:cs="Calibri" w:eastAsia="Calibri" w:hAnsi="Calibri"/>
          <w:color w:val="0E1A1C"/>
          <w:sz w:val="21"/>
          <w:szCs w:val="21"/>
        </w:rPr>
        <w:t xml:space="preserve">Erkenning dat de dubbele deelnemers andere velden in het geding brengen dan de werkgever.</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Eén regel voor alle velden. Vraag welke regel bij IBAN én bij adres tegelijk juist is.</w:t>
      </w:r>
    </w:p>
    <w:p>
      <w:pPr>
        <w:pStyle w:val="ListParagraph"/>
        <w:numPr>
          <w:ilvl w:val="0"/>
          <w:numId w:val="2"/>
        </w:numPr>
        <w:spacing w:after="70" w:line="280"/>
      </w:pPr>
      <w:r>
        <w:rPr>
          <w:rFonts w:ascii="Calibri" w:cs="Calibri" w:eastAsia="Calibri" w:hAnsi="Calibri"/>
          <w:color w:val="0E1A1C"/>
          <w:sz w:val="21"/>
          <w:szCs w:val="21"/>
        </w:rPr>
        <w:t xml:space="preserve">De verliezende waarden weggooien. Dan is een onterechte match onherstelbaar.</w:t>
      </w:r>
    </w:p>
    <w:p>
      <w:pPr>
        <w:pStyle w:val="ListParagraph"/>
        <w:numPr>
          <w:ilvl w:val="0"/>
          <w:numId w:val="2"/>
        </w:numPr>
        <w:spacing w:after="70" w:line="280"/>
      </w:pPr>
      <w:r>
        <w:rPr>
          <w:rFonts w:ascii="Calibri" w:cs="Calibri" w:eastAsia="Calibri" w:hAnsi="Calibri"/>
          <w:color w:val="0E1A1C"/>
          <w:sz w:val="21"/>
          <w:szCs w:val="21"/>
        </w:rPr>
        <w:t xml:space="preserve">De botsing oplossen door "de nieuwste" te kiezen zonder te kijken welk record dat is en waarom.</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van de drie werkgeverrecords wint bij jou, en wat zegt de opdrachtgever als hij het er niet mee eens is?</w:t>
            </w:r>
          </w:p>
        </w:tc>
      </w:tr>
    </w:tbl>
    <w:p>
      <w:pPr>
        <w:pStyle w:val="Heading2"/>
        <w:spacing w:after="140" w:before="340"/>
      </w:pPr>
      <w:r>
        <w:rPr>
          <w:rFonts w:ascii="Cambria" w:cs="Cambria" w:eastAsia="Cambria" w:hAnsi="Cambria"/>
          <w:b/>
          <w:bCs/>
          <w:color w:val="0E1A1C"/>
          <w:sz w:val="26"/>
          <w:szCs w:val="26"/>
        </w:rPr>
        <w:t xml:space="preserve">Opdracht 5 — Stewardship-workflow</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Instroomschatting afgeleid uit de eigen drempels van opdracht 3.</w:t>
      </w:r>
    </w:p>
    <w:p>
      <w:pPr>
        <w:pStyle w:val="ListParagraph"/>
        <w:numPr>
          <w:ilvl w:val="0"/>
          <w:numId w:val="2"/>
        </w:numPr>
        <w:spacing w:after="70" w:line="280"/>
      </w:pPr>
      <w:r>
        <w:rPr>
          <w:rFonts w:ascii="Calibri" w:cs="Calibri" w:eastAsia="Calibri" w:hAnsi="Calibri"/>
          <w:color w:val="0E1A1C"/>
          <w:sz w:val="21"/>
          <w:szCs w:val="21"/>
        </w:rPr>
        <w:t xml:space="preserve">Capaciteit in uren, met de conclusie of dat toereikend is.</w:t>
      </w:r>
    </w:p>
    <w:p>
      <w:pPr>
        <w:pStyle w:val="ListParagraph"/>
        <w:numPr>
          <w:ilvl w:val="0"/>
          <w:numId w:val="2"/>
        </w:numPr>
        <w:spacing w:after="70" w:line="280"/>
      </w:pPr>
      <w:r>
        <w:rPr>
          <w:rFonts w:ascii="Calibri" w:cs="Calibri" w:eastAsia="Calibri" w:hAnsi="Calibri"/>
          <w:color w:val="0E1A1C"/>
          <w:sz w:val="21"/>
          <w:szCs w:val="21"/>
        </w:rPr>
        <w:t xml:space="preserve">Behandelstappen die beschrijven welke informatie de steward ziet — zonder herkomst kan hij niet beslissen.</w:t>
      </w:r>
    </w:p>
    <w:p>
      <w:pPr>
        <w:pStyle w:val="ListParagraph"/>
        <w:numPr>
          <w:ilvl w:val="0"/>
          <w:numId w:val="2"/>
        </w:numPr>
        <w:spacing w:after="70" w:line="280"/>
      </w:pPr>
      <w:r>
        <w:rPr>
          <w:rFonts w:ascii="Calibri" w:cs="Calibri" w:eastAsia="Calibri" w:hAnsi="Calibri"/>
          <w:color w:val="0E1A1C"/>
          <w:sz w:val="21"/>
          <w:szCs w:val="21"/>
        </w:rPr>
        <w:t xml:space="preserve">Doorlooptijd met escalatie naar de data owner.</w:t>
      </w:r>
    </w:p>
    <w:p>
      <w:pPr>
        <w:pStyle w:val="ListParagraph"/>
        <w:numPr>
          <w:ilvl w:val="0"/>
          <w:numId w:val="2"/>
        </w:numPr>
        <w:spacing w:after="70" w:line="280"/>
      </w:pPr>
      <w:r>
        <w:rPr>
          <w:rFonts w:ascii="Calibri" w:cs="Calibri" w:eastAsia="Calibri" w:hAnsi="Calibri"/>
          <w:color w:val="0E1A1C"/>
          <w:sz w:val="21"/>
          <w:szCs w:val="21"/>
        </w:rPr>
        <w:t xml:space="preserve">Terugkoppeling naar de bron uitgewerkt, met erkenning dat de polisadministratie dat mogelijk niet aankan.</w:t>
      </w:r>
    </w:p>
    <w:p>
      <w:pPr>
        <w:pStyle w:val="ListParagraph"/>
        <w:numPr>
          <w:ilvl w:val="0"/>
          <w:numId w:val="2"/>
        </w:numPr>
        <w:spacing w:after="70" w:line="280"/>
      </w:pPr>
      <w:r>
        <w:rPr>
          <w:rFonts w:ascii="Calibri" w:cs="Calibri" w:eastAsia="Calibri" w:hAnsi="Calibri"/>
          <w:color w:val="0E1A1C"/>
          <w:sz w:val="21"/>
          <w:szCs w:val="21"/>
        </w:rPr>
        <w:t xml:space="preserve">Een handmatige route als terugvaloptie, met de gevolgen voor de capaciteitsberekening.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queue ontwerpen zonder capaciteit te berekenen. Dan loopt hij binnen een half jaar vol.</w:t>
      </w:r>
    </w:p>
    <w:p>
      <w:pPr>
        <w:pStyle w:val="ListParagraph"/>
        <w:numPr>
          <w:ilvl w:val="0"/>
          <w:numId w:val="2"/>
        </w:numPr>
        <w:spacing w:after="70" w:line="280"/>
      </w:pPr>
      <w:r>
        <w:rPr>
          <w:rFonts w:ascii="Calibri" w:cs="Calibri" w:eastAsia="Calibri" w:hAnsi="Calibri"/>
          <w:color w:val="0E1A1C"/>
          <w:sz w:val="21"/>
          <w:szCs w:val="21"/>
        </w:rPr>
        <w:t xml:space="preserve">Terugkoppeling als vanzelfsprekend behandelen. Vraag of het technisch kan.</w:t>
      </w:r>
    </w:p>
    <w:p>
      <w:pPr>
        <w:pStyle w:val="ListParagraph"/>
        <w:numPr>
          <w:ilvl w:val="0"/>
          <w:numId w:val="2"/>
        </w:numPr>
        <w:spacing w:after="70" w:line="280"/>
      </w:pPr>
      <w:r>
        <w:rPr>
          <w:rFonts w:ascii="Calibri" w:cs="Calibri" w:eastAsia="Calibri" w:hAnsi="Calibri"/>
          <w:color w:val="0E1A1C"/>
          <w:sz w:val="21"/>
          <w:szCs w:val="21"/>
        </w:rPr>
        <w:t xml:space="preserve">Escalatie zonder termijn — dezelfde fout als in deel 16.</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doe je als terugschrijven naar de polisadministratie technisch onmogelijk blijkt?</w:t>
            </w:r>
          </w:p>
        </w:tc>
      </w:tr>
    </w:tbl>
    <w:p>
      <w:pPr>
        <w:pStyle w:val="Heading2"/>
        <w:spacing w:after="140" w:before="340"/>
      </w:pPr>
      <w:r>
        <w:rPr>
          <w:rFonts w:ascii="Cambria" w:cs="Cambria" w:eastAsia="Cambria" w:hAnsi="Cambria"/>
          <w:b/>
          <w:bCs/>
          <w:color w:val="0E1A1C"/>
          <w:sz w:val="26"/>
          <w:szCs w:val="26"/>
        </w:rPr>
        <w:t xml:space="preserve">Opdracht 6 — Referentiedatabeheer</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Register met per lijst een beheerder en de gebruikende systemen.</w:t>
      </w:r>
    </w:p>
    <w:p>
      <w:pPr>
        <w:pStyle w:val="ListParagraph"/>
        <w:numPr>
          <w:ilvl w:val="0"/>
          <w:numId w:val="2"/>
        </w:numPr>
        <w:spacing w:after="70" w:line="280"/>
      </w:pPr>
      <w:r>
        <w:rPr>
          <w:rFonts w:ascii="Calibri" w:cs="Calibri" w:eastAsia="Calibri" w:hAnsi="Calibri"/>
          <w:color w:val="0E1A1C"/>
          <w:sz w:val="21"/>
          <w:szCs w:val="21"/>
        </w:rPr>
        <w:t xml:space="preserve">Onderscheid tussen intern bepaalde en extern afgeleide lijsten, met de vraag hoe je van een externe wijziging hoort.</w:t>
      </w:r>
    </w:p>
    <w:p>
      <w:pPr>
        <w:pStyle w:val="ListParagraph"/>
        <w:numPr>
          <w:ilvl w:val="0"/>
          <w:numId w:val="2"/>
        </w:numPr>
        <w:spacing w:after="70" w:line="280"/>
      </w:pPr>
      <w:r>
        <w:rPr>
          <w:rFonts w:ascii="Calibri" w:cs="Calibri" w:eastAsia="Calibri" w:hAnsi="Calibri"/>
          <w:color w:val="0E1A1C"/>
          <w:sz w:val="21"/>
          <w:szCs w:val="21"/>
        </w:rPr>
        <w:t xml:space="preserve">Versiebeheer met versienummer én ingangsdatum, en het argument over reproduceerbaarheid.</w:t>
      </w:r>
    </w:p>
    <w:p>
      <w:pPr>
        <w:pStyle w:val="ListParagraph"/>
        <w:numPr>
          <w:ilvl w:val="0"/>
          <w:numId w:val="2"/>
        </w:numPr>
        <w:spacing w:after="70" w:line="280"/>
      </w:pPr>
      <w:r>
        <w:rPr>
          <w:rFonts w:ascii="Calibri" w:cs="Calibri" w:eastAsia="Calibri" w:hAnsi="Calibri"/>
          <w:color w:val="0E1A1C"/>
          <w:sz w:val="21"/>
          <w:szCs w:val="21"/>
        </w:rPr>
        <w:t xml:space="preserve">Een uitgewerkte mapping tussen twee codestelsels, met een eigen eigenaar voor die mapping.</w:t>
      </w:r>
    </w:p>
    <w:p>
      <w:pPr>
        <w:pStyle w:val="ListParagraph"/>
        <w:numPr>
          <w:ilvl w:val="0"/>
          <w:numId w:val="2"/>
        </w:numPr>
        <w:spacing w:after="70" w:line="280"/>
      </w:pPr>
      <w:r>
        <w:rPr>
          <w:rFonts w:ascii="Calibri" w:cs="Calibri" w:eastAsia="Calibri" w:hAnsi="Calibri"/>
          <w:color w:val="0E1A1C"/>
          <w:sz w:val="21"/>
          <w:szCs w:val="21"/>
        </w:rPr>
        <w:t xml:space="preserve">Het wijzigingsscenario doorgedacht tot en met de historische rapportages.</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Versiebeheer beperken tot een nummer zonder ingangsdatum.</w:t>
      </w:r>
    </w:p>
    <w:p>
      <w:pPr>
        <w:pStyle w:val="ListParagraph"/>
        <w:numPr>
          <w:ilvl w:val="0"/>
          <w:numId w:val="2"/>
        </w:numPr>
        <w:spacing w:after="70" w:line="280"/>
      </w:pPr>
      <w:r>
        <w:rPr>
          <w:rFonts w:ascii="Calibri" w:cs="Calibri" w:eastAsia="Calibri" w:hAnsi="Calibri"/>
          <w:color w:val="0E1A1C"/>
          <w:sz w:val="21"/>
          <w:szCs w:val="21"/>
        </w:rPr>
        <w:t xml:space="preserve">De mapping als technisch detail behandelen. Het is zelf referentiedata en heeft een eigenaar nodig.</w:t>
      </w:r>
    </w:p>
    <w:p>
      <w:pPr>
        <w:pStyle w:val="ListParagraph"/>
        <w:numPr>
          <w:ilvl w:val="0"/>
          <w:numId w:val="2"/>
        </w:numPr>
        <w:spacing w:after="70" w:line="280"/>
      </w:pPr>
      <w:r>
        <w:rPr>
          <w:rFonts w:ascii="Calibri" w:cs="Calibri" w:eastAsia="Calibri" w:hAnsi="Calibri"/>
          <w:color w:val="0E1A1C"/>
          <w:sz w:val="21"/>
          <w:szCs w:val="21"/>
        </w:rPr>
        <w:t xml:space="preserve">Het scenario beantwoorden met "dan passen we de lijst aan" zonder de gevolgen voor eerdere rapportages.</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gebeurt er met de DNB-rapportage van vorig jaar als de sectorindeling dit jaar wijzigt?</w:t>
            </w:r>
          </w:p>
        </w:tc>
      </w:tr>
    </w:tbl>
    <w:p>
      <w:pPr>
        <w:pStyle w:val="Heading2"/>
        <w:spacing w:after="140" w:before="340"/>
      </w:pPr>
      <w:r>
        <w:rPr>
          <w:rFonts w:ascii="Cambria" w:cs="Cambria" w:eastAsia="Cambria" w:hAnsi="Cambria"/>
          <w:b/>
          <w:bCs/>
          <w:color w:val="0E1A1C"/>
          <w:sz w:val="26"/>
          <w:szCs w:val="26"/>
        </w:rPr>
        <w:t xml:space="preserve">Opdracht 7 — De MDM-businesscase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Directe kosten met echte uren en zichtbare aannames.</w:t>
      </w:r>
    </w:p>
    <w:p>
      <w:pPr>
        <w:pStyle w:val="ListParagraph"/>
        <w:numPr>
          <w:ilvl w:val="0"/>
          <w:numId w:val="2"/>
        </w:numPr>
        <w:spacing w:after="70" w:line="280"/>
      </w:pPr>
      <w:r>
        <w:rPr>
          <w:rFonts w:ascii="Calibri" w:cs="Calibri" w:eastAsia="Calibri" w:hAnsi="Calibri"/>
          <w:color w:val="0E1A1C"/>
          <w:sz w:val="21"/>
          <w:szCs w:val="21"/>
        </w:rPr>
        <w:t xml:space="preserve">Invoeringskosten inclusief stewardship-capaciteit — die wordt vrijwel altijd vergeten.</w:t>
      </w:r>
    </w:p>
    <w:p>
      <w:pPr>
        <w:pStyle w:val="ListParagraph"/>
        <w:numPr>
          <w:ilvl w:val="0"/>
          <w:numId w:val="2"/>
        </w:numPr>
        <w:spacing w:after="70" w:line="280"/>
      </w:pPr>
      <w:r>
        <w:rPr>
          <w:rFonts w:ascii="Calibri" w:cs="Calibri" w:eastAsia="Calibri" w:hAnsi="Calibri"/>
          <w:color w:val="0E1A1C"/>
          <w:sz w:val="21"/>
          <w:szCs w:val="21"/>
        </w:rPr>
        <w:t xml:space="preserve">Een eerlijke terugverdientijd, ook als die vier jaar is.</w:t>
      </w:r>
    </w:p>
    <w:p>
      <w:pPr>
        <w:pStyle w:val="ListParagraph"/>
        <w:numPr>
          <w:ilvl w:val="0"/>
          <w:numId w:val="2"/>
        </w:numPr>
        <w:spacing w:after="70" w:line="280"/>
      </w:pPr>
      <w:r>
        <w:rPr>
          <w:rFonts w:ascii="Calibri" w:cs="Calibri" w:eastAsia="Calibri" w:hAnsi="Calibri"/>
          <w:color w:val="0E1A1C"/>
          <w:sz w:val="21"/>
          <w:szCs w:val="21"/>
        </w:rPr>
        <w:t xml:space="preserve">Het risico-argument als hoofdargument: één onterechte uitkering weegt zwaarder dan een jaar handmatige controle.</w:t>
      </w:r>
    </w:p>
    <w:p>
      <w:pPr>
        <w:pStyle w:val="ListParagraph"/>
        <w:numPr>
          <w:ilvl w:val="0"/>
          <w:numId w:val="2"/>
        </w:numPr>
        <w:spacing w:after="70" w:line="280"/>
      </w:pPr>
      <w:r>
        <w:rPr>
          <w:rFonts w:ascii="Calibri" w:cs="Calibri" w:eastAsia="Calibri" w:hAnsi="Calibri"/>
          <w:color w:val="0E1A1C"/>
          <w:sz w:val="21"/>
          <w:szCs w:val="21"/>
        </w:rPr>
        <w:t xml:space="preserve">Een gevraagd besluit met naam en datum.</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businesscase alleen op efficiëntie bouwen. MDM verdient zich daarop zelden terug.</w:t>
      </w:r>
    </w:p>
    <w:p>
      <w:pPr>
        <w:pStyle w:val="ListParagraph"/>
        <w:numPr>
          <w:ilvl w:val="0"/>
          <w:numId w:val="2"/>
        </w:numPr>
        <w:spacing w:after="70" w:line="280"/>
      </w:pPr>
      <w:r>
        <w:rPr>
          <w:rFonts w:ascii="Calibri" w:cs="Calibri" w:eastAsia="Calibri" w:hAnsi="Calibri"/>
          <w:color w:val="0E1A1C"/>
          <w:sz w:val="21"/>
          <w:szCs w:val="21"/>
        </w:rPr>
        <w:t xml:space="preserve">De stewardship-capaciteit weglaten uit de kosten.</w:t>
      </w:r>
    </w:p>
    <w:p>
      <w:pPr>
        <w:pStyle w:val="ListParagraph"/>
        <w:numPr>
          <w:ilvl w:val="0"/>
          <w:numId w:val="2"/>
        </w:numPr>
        <w:spacing w:after="70" w:line="280"/>
      </w:pPr>
      <w:r>
        <w:rPr>
          <w:rFonts w:ascii="Calibri" w:cs="Calibri" w:eastAsia="Calibri" w:hAnsi="Calibri"/>
          <w:color w:val="0E1A1C"/>
          <w:sz w:val="21"/>
          <w:szCs w:val="21"/>
        </w:rPr>
        <w:t xml:space="preserve">Grote ronde bedragen zonder herkomst; één weerlegde aanname kost het hele voorstel.</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argument overtuigt jouw CFO: de bespaarde uren of het vermeden risico?</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Welke toets bepaalt of iets masterdata is?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Of andere gegevens ernaar verwijzen</w:t>
      </w:r>
    </w:p>
    <w:p>
      <w:pPr>
        <w:spacing w:after="40" w:line="275"/>
        <w:ind w:left="420"/>
      </w:pPr>
      <w:r>
        <w:rPr>
          <w:rFonts w:ascii="Calibri" w:cs="Calibri" w:eastAsia="Calibri" w:hAnsi="Calibri"/>
          <w:color w:val="5F7375"/>
          <w:sz w:val="19"/>
          <w:szCs w:val="19"/>
        </w:rPr>
        <w:t xml:space="preserve">Premiebetalingen verwijzen naar deelnemer en werkgever; naar een premiebetaling verwijst niets.</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Wat is het grootste risico van de registry-stijl?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probleem wordt zichtbaar en blijft bestaan, terwijl de organisatie denkt dat het is opgelost.</w:t>
      </w:r>
    </w:p>
    <w:p>
      <w:pPr>
        <w:spacing w:after="40" w:line="275"/>
        <w:ind w:left="420"/>
      </w:pPr>
      <w:r>
        <w:rPr>
          <w:rFonts w:ascii="Calibri" w:cs="Calibri" w:eastAsia="Calibri" w:hAnsi="Calibri"/>
          <w:color w:val="5F7375"/>
          <w:sz w:val="19"/>
          <w:szCs w:val="19"/>
        </w:rPr>
        <w:t xml:space="preserve">Registry maakt inconsistentie zichtbaar maar verhelpt hem niet.</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Waarom hoort een matchingdrempel asymmetrisch te zijn?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de schade van een onterechte match veel groter is dan van een gemiste match.</w:t>
      </w:r>
    </w:p>
    <w:p>
      <w:pPr>
        <w:spacing w:after="40" w:line="275"/>
        <w:ind w:left="420"/>
      </w:pPr>
      <w:r>
        <w:rPr>
          <w:rFonts w:ascii="Calibri" w:cs="Calibri" w:eastAsia="Calibri" w:hAnsi="Calibri"/>
          <w:color w:val="5F7375"/>
          <w:sz w:val="19"/>
          <w:szCs w:val="19"/>
        </w:rPr>
        <w:t xml:space="preserve">Iemand die het pensioen van een ander krijgt, is een ander soort probleem dan een dubbele nieuwsbrief.</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Wat doet blocking bij het matchen?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beperkt de vergelijking tot records die op één kenmerk overeenkomen.</w:t>
      </w:r>
    </w:p>
    <w:p>
      <w:pPr>
        <w:spacing w:after="40" w:line="275"/>
        <w:ind w:left="420"/>
      </w:pPr>
      <w:r>
        <w:rPr>
          <w:rFonts w:ascii="Calibri" w:cs="Calibri" w:eastAsia="Calibri" w:hAnsi="Calibri"/>
          <w:color w:val="5F7375"/>
          <w:sz w:val="19"/>
          <w:szCs w:val="19"/>
        </w:rPr>
        <w:t xml:space="preserve">Zonder blocking zijn 380.000 records goed voor ruim zeventig miljard vergelijkingen.</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Wat is het risico van blocking op een veld dat zelf fouten bevat?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Je mist precies de dubbelen die je zoekt.</w:t>
      </w:r>
    </w:p>
    <w:p>
      <w:pPr>
        <w:spacing w:after="40" w:line="275"/>
        <w:ind w:left="420"/>
      </w:pPr>
      <w:r>
        <w:rPr>
          <w:rFonts w:ascii="Calibri" w:cs="Calibri" w:eastAsia="Calibri" w:hAnsi="Calibri"/>
          <w:color w:val="5F7375"/>
          <w:sz w:val="19"/>
          <w:szCs w:val="19"/>
        </w:rPr>
        <w:t xml:space="preserve">Records die door een tikfout in verschillende blokken belanden, worden nooit met elkaar vergeleken.</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Drie records van dezelfde werkgever. Recentheid, bronprioriteit en volledigheid wijzen elk naar een ander record. Wat is dat?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normale geval, en precies waarom survivorship een besluit vraagt</w:t>
      </w:r>
    </w:p>
    <w:p>
      <w:pPr>
        <w:spacing w:after="40" w:line="275"/>
        <w:ind w:left="420"/>
      </w:pPr>
      <w:r>
        <w:rPr>
          <w:rFonts w:ascii="Calibri" w:cs="Calibri" w:eastAsia="Calibri" w:hAnsi="Calibri"/>
          <w:color w:val="5F7375"/>
          <w:sz w:val="19"/>
          <w:szCs w:val="19"/>
        </w:rPr>
        <w:t xml:space="preserve">Survivorship is een reeks inhoudelijke besluiten, geen instelling.</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Wat is het verschil tussen een golden record en een system of record?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system of record is een aangewezen systeem; het golden record is een samengestelde waarheid die nergens als zodanig bestaat.</w:t>
      </w:r>
    </w:p>
    <w:p>
      <w:pPr>
        <w:spacing w:after="40" w:line="275"/>
        <w:ind w:left="420"/>
      </w:pPr>
      <w:r>
        <w:rPr>
          <w:rFonts w:ascii="Calibri" w:cs="Calibri" w:eastAsia="Calibri" w:hAnsi="Calibri"/>
          <w:color w:val="5F7375"/>
          <w:sz w:val="19"/>
          <w:szCs w:val="19"/>
        </w:rPr>
        <w:t xml:space="preserve">Bij registry bestaat er geen golden record; bij transaction vallen ze samen.</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Waarom is terugkoppeling naar de bron de crux van een stewardship-workflow?</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Zonder terugkoppeling komt hetzelfde geval bij de volgende lading terug en wordt de queue oneindig.</w:t>
      </w:r>
    </w:p>
    <w:p>
      <w:pPr>
        <w:spacing w:after="40" w:line="275"/>
        <w:ind w:left="420"/>
      </w:pPr>
      <w:r>
        <w:rPr>
          <w:rFonts w:ascii="Calibri" w:cs="Calibri" w:eastAsia="Calibri" w:hAnsi="Calibri"/>
          <w:color w:val="5F7375"/>
          <w:sz w:val="19"/>
          <w:szCs w:val="19"/>
        </w:rPr>
        <w:t xml:space="preserve">Het is de duurste ontwerpkeuze en de enige die de inrichting houdbaar maakt.</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Waarom is versiebeheer op codelijsten onmisbaar?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Omdat je zonder ingangsdatum historische rapportages niet kunt reproduceren</w:t>
      </w:r>
    </w:p>
    <w:p>
      <w:pPr>
        <w:spacing w:after="40" w:line="275"/>
        <w:ind w:left="420"/>
      </w:pPr>
      <w:r>
        <w:rPr>
          <w:rFonts w:ascii="Calibri" w:cs="Calibri" w:eastAsia="Calibri" w:hAnsi="Calibri"/>
          <w:color w:val="5F7375"/>
          <w:sz w:val="19"/>
          <w:szCs w:val="19"/>
        </w:rPr>
        <w:t xml:space="preserve">Een sectorindeling die in 2024 wijzigde, maakt een vergelijking met 2023 betekenisloos zonder beide versies.</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Wanneer is MDM níét het passende antwoord?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Wanneer het probleem een ontbrekende of betwiste definitie is</w:t>
      </w:r>
    </w:p>
    <w:p>
      <w:pPr>
        <w:spacing w:after="40" w:line="275"/>
        <w:ind w:left="420"/>
      </w:pPr>
      <w:r>
        <w:rPr>
          <w:rFonts w:ascii="Calibri" w:cs="Calibri" w:eastAsia="Calibri" w:hAnsi="Calibri"/>
          <w:color w:val="5F7375"/>
          <w:sz w:val="19"/>
          <w:szCs w:val="19"/>
        </w:rPr>
        <w:t xml:space="preserve">MDM lost identificatie op, geen betekenisverschil. Dat laatste is governance.</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Welke indicator is de uitkomstmaat van een MDM-inrichting?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Duplicaatgraad</w:t>
      </w:r>
    </w:p>
    <w:p>
      <w:pPr>
        <w:spacing w:after="40" w:line="275"/>
        <w:ind w:left="420"/>
      </w:pPr>
      <w:r>
        <w:rPr>
          <w:rFonts w:ascii="Calibri" w:cs="Calibri" w:eastAsia="Calibri" w:hAnsi="Calibri"/>
          <w:color w:val="5F7375"/>
          <w:sz w:val="19"/>
          <w:szCs w:val="19"/>
        </w:rPr>
        <w:t xml:space="preserve">De andere drie zijn voorwaarden; de duplicaatgraad meet of het probleem daadwerkelijk kleiner wordt.</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Wat betekent een hoge automatische matchgraad?</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Mogelijk dat de drempel te ruim staat en er onterechte matches ontstaan.</w:t>
      </w:r>
    </w:p>
    <w:p>
      <w:pPr>
        <w:spacing w:after="40" w:line="275"/>
        <w:ind w:left="420"/>
      </w:pPr>
      <w:r>
        <w:rPr>
          <w:rFonts w:ascii="Calibri" w:cs="Calibri" w:eastAsia="Calibri" w:hAnsi="Calibri"/>
          <w:color w:val="5F7375"/>
          <w:sz w:val="19"/>
          <w:szCs w:val="19"/>
        </w:rPr>
        <w:t xml:space="preserve">Kijk altijd naar de matchgraad in combinatie met het aantal teruggedraaide samenvoegingen.</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golden record een waarheid of een aanname met een mooie naam?</w:t>
      </w:r>
    </w:p>
    <w:p>
      <w:pPr>
        <w:pStyle w:val="ListParagraph"/>
        <w:numPr>
          <w:ilvl w:val="0"/>
          <w:numId w:val="3"/>
        </w:numPr>
        <w:spacing w:after="70" w:line="280"/>
      </w:pPr>
      <w:r>
        <w:rPr>
          <w:rFonts w:ascii="Calibri" w:cs="Calibri" w:eastAsia="Calibri" w:hAnsi="Calibri"/>
          <w:color w:val="0E1A1C"/>
          <w:sz w:val="21"/>
          <w:szCs w:val="21"/>
        </w:rPr>
        <w:t xml:space="preserve">Zou een organisatie twee records mogen samenvoegen zonder de betrokkene te informeren?</w:t>
      </w:r>
    </w:p>
    <w:p>
      <w:pPr>
        <w:pStyle w:val="ListParagraph"/>
        <w:numPr>
          <w:ilvl w:val="0"/>
          <w:numId w:val="3"/>
        </w:numPr>
        <w:spacing w:after="70" w:line="280"/>
      </w:pPr>
      <w:r>
        <w:rPr>
          <w:rFonts w:ascii="Calibri" w:cs="Calibri" w:eastAsia="Calibri" w:hAnsi="Calibri"/>
          <w:color w:val="0E1A1C"/>
          <w:sz w:val="21"/>
          <w:szCs w:val="21"/>
        </w:rPr>
        <w:t xml:space="preserve">Wie zou moeten beslissen over survivorship-regels: de business, de architect of de leverancier van het MDM-systeem?</w:t>
      </w:r>
    </w:p>
    <w:p>
      <w:pPr>
        <w:pStyle w:val="ListParagraph"/>
        <w:numPr>
          <w:ilvl w:val="0"/>
          <w:numId w:val="3"/>
        </w:numPr>
        <w:spacing w:after="70" w:line="280"/>
      </w:pPr>
      <w:r>
        <w:rPr>
          <w:rFonts w:ascii="Calibri" w:cs="Calibri" w:eastAsia="Calibri" w:hAnsi="Calibri"/>
          <w:color w:val="0E1A1C"/>
          <w:sz w:val="21"/>
          <w:szCs w:val="21"/>
        </w:rPr>
        <w:t xml:space="preserve">Waarom krijgt referentiedatabeheer nooit budget, terwijl een codewijziging kwartalen kost?</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bij opdracht 3 de drempels doorrekenen naar verwachte aantallen onterechte en gemiste matches.</w:t>
      </w:r>
    </w:p>
    <w:p>
      <w:pPr>
        <w:pStyle w:val="ListParagraph"/>
        <w:numPr>
          <w:ilvl w:val="0"/>
          <w:numId w:val="2"/>
        </w:numPr>
        <w:spacing w:after="70" w:line="280"/>
      </w:pPr>
      <w:r>
        <w:rPr>
          <w:rFonts w:ascii="Calibri" w:cs="Calibri" w:eastAsia="Calibri" w:hAnsi="Calibri"/>
          <w:color w:val="0E1A1C"/>
          <w:sz w:val="21"/>
          <w:szCs w:val="21"/>
        </w:rPr>
        <w:t xml:space="preserve">Vraag om bij opdracht 4 een terugdraaiscenario uit te werken: hoe herstel je een onterechte samenvoeging na zes maanden?</w:t>
      </w:r>
    </w:p>
    <w:p>
      <w:pPr>
        <w:pStyle w:val="ListParagraph"/>
        <w:numPr>
          <w:ilvl w:val="0"/>
          <w:numId w:val="2"/>
        </w:numPr>
        <w:spacing w:after="70" w:line="280"/>
      </w:pPr>
      <w:r>
        <w:rPr>
          <w:rFonts w:ascii="Calibri" w:cs="Calibri" w:eastAsia="Calibri" w:hAnsi="Calibri"/>
          <w:color w:val="0E1A1C"/>
          <w:sz w:val="21"/>
          <w:szCs w:val="21"/>
        </w:rPr>
        <w:t xml:space="preserve">Laat opdracht 6 uitbreiden met een aansluiting op een externe gezaghebbende bron, inclusief de afwijkingsafspraak.</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Geef bij opdracht 3 de deterministische regel voor; het probabilistische deel is dan de oefening.</w:t>
      </w:r>
    </w:p>
    <w:p>
      <w:pPr>
        <w:pStyle w:val="ListParagraph"/>
        <w:numPr>
          <w:ilvl w:val="0"/>
          <w:numId w:val="2"/>
        </w:numPr>
        <w:spacing w:after="70" w:line="280"/>
      </w:pPr>
      <w:r>
        <w:rPr>
          <w:rFonts w:ascii="Calibri" w:cs="Calibri" w:eastAsia="Calibri" w:hAnsi="Calibri"/>
          <w:color w:val="0E1A1C"/>
          <w:sz w:val="21"/>
          <w:szCs w:val="21"/>
        </w:rPr>
        <w:t xml:space="preserve">Beperk opdracht 4 tot de werkgever, zonder de dubbele deelnemers.</w:t>
      </w:r>
    </w:p>
    <w:p>
      <w:pPr>
        <w:pStyle w:val="ListParagraph"/>
        <w:numPr>
          <w:ilvl w:val="0"/>
          <w:numId w:val="2"/>
        </w:numPr>
        <w:spacing w:after="70" w:line="280"/>
      </w:pPr>
      <w:r>
        <w:rPr>
          <w:rFonts w:ascii="Calibri" w:cs="Calibri" w:eastAsia="Calibri" w:hAnsi="Calibri"/>
          <w:color w:val="0E1A1C"/>
          <w:sz w:val="21"/>
          <w:szCs w:val="21"/>
        </w:rPr>
        <w:t xml:space="preserve">Laat opdracht 6 alleen het register en het versiebeheer doen, zonder de mapping.</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"Moet ik een MDM-tool kennen voor het examen?"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Het examen toetst de stijlen, matching, survivorship en referentiedatabeheer als concepten.</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is het verschil tussen matching en deduplicatie?"</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Matching bepaalt welke records over hetzelfde object gaan; deduplicatie is wat je daarna doet. Matchen kan ook zonder samen te voegen.</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hoog moet de automatische matchgraad zijn?"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hangt af van de schadeverhouding. Kijk er nooit naar zonder het aantal teruggedraaide matches erbij.</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"Is referentiedata ook masterdata?"</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Masterdata beschrijft objecten die de organisatie beheert; referentiedata beschrijft toegestane waarden, vaak extern bepaald.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14 — Master- en referentiedatamanagement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en referentiedatamanagement — Docentenhandleiding</dc:title>
  <dc:creator>Ductus B.V.</dc:creator>
  <dc:description>Cursusmateriaal datamanagement, data-analyse en data governance</dc:description>
  <cp:lastModifiedBy>Un-named</cp:lastModifiedBy>
  <cp:revision>1</cp:revision>
  <dcterms:created xsi:type="dcterms:W3CDTF">2026-08-05T10:35:03.508Z</dcterms:created>
  <dcterms:modified xsi:type="dcterms:W3CDTF">2026-08-05T10:35:03.508Z</dcterms:modified>
</cp:coreProperties>
</file>

<file path=docProps/custom.xml><?xml version="1.0" encoding="utf-8"?>
<Properties xmlns="http://schemas.openxmlformats.org/officeDocument/2006/custom-properties" xmlns:vt="http://schemas.openxmlformats.org/officeDocument/2006/docPropsVTypes"/>
</file>