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14</w:t>
      </w:r>
    </w:p>
    <w:p>
      <w:pPr>
        <w:spacing w:after="120"/>
      </w:pPr>
      <w:r>
        <w:rPr>
          <w:rFonts w:ascii="Cambria" w:cs="Cambria" w:eastAsia="Cambria" w:hAnsi="Cambria"/>
          <w:b/>
          <w:bCs/>
          <w:color w:val="0E1A1C"/>
          <w:sz w:val="56"/>
          <w:szCs w:val="56"/>
        </w:rPr>
        <w:t xml:space="preserve">Master- en referentiedatamanagement</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8 uur (5 uur klassikaal, 3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CDMP-specialist Reference &amp; Master Data</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Bij Meridiaan staat dezelfde werkgever drie keer in het systeem, met drie adressen. Eenenzestig deelnemers komen twee keer voor onder verschillende nummers. Codelijsten worden in vijf systemen apart bijgehouden. Elk van die drie is een ander probleem, en elk vraagt een andere oplossing — maar ze worden in de praktijk op één hoop gegooid onder de noemer "master data".</w:t>
      </w:r>
    </w:p>
    <w:p>
      <w:pPr>
        <w:spacing w:after="140" w:line="288"/>
      </w:pPr>
      <w:r>
        <w:rPr>
          <w:rFonts w:ascii="Calibri" w:cs="Calibri" w:eastAsia="Calibri" w:hAnsi="Calibri"/>
          <w:color w:val="0E1A1C"/>
          <w:sz w:val="21"/>
          <w:szCs w:val="21"/>
        </w:rPr>
        <w:t xml:space="preserve">Dit deel gaat over het onderscheid en over de uitvoering. Matchen is een statistische exercitie met een expliciete afweging tussen te veel en te weinig samenvoegen. Survivorship is een reeks inhoudelijke besluiten die je niet aan een algoritme kunt overlaten. En referentiedatabeheer is de saaiste discipline in het vak, die je pas mist als een code verandert.</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bakent af welke gegevens masterdata zijn en welke niet, met een verdedigbaar criterium.</w:t>
      </w:r>
    </w:p>
    <w:p>
      <w:pPr>
        <w:pStyle w:val="ListParagraph"/>
        <w:numPr>
          <w:ilvl w:val="0"/>
          <w:numId w:val="2"/>
        </w:numPr>
        <w:spacing w:after="70" w:line="280"/>
      </w:pPr>
      <w:r>
        <w:rPr>
          <w:rFonts w:ascii="Calibri" w:cs="Calibri" w:eastAsia="Calibri" w:hAnsi="Calibri"/>
          <w:color w:val="0E1A1C"/>
          <w:sz w:val="21"/>
          <w:szCs w:val="21"/>
        </w:rPr>
        <w:t xml:space="preserve">Je kiest een MDM-stijl op grond van het landschap in plaats van op grond van ambitie.</w:t>
      </w:r>
    </w:p>
    <w:p>
      <w:pPr>
        <w:pStyle w:val="ListParagraph"/>
        <w:numPr>
          <w:ilvl w:val="0"/>
          <w:numId w:val="2"/>
        </w:numPr>
        <w:spacing w:after="70" w:line="280"/>
      </w:pPr>
      <w:r>
        <w:rPr>
          <w:rFonts w:ascii="Calibri" w:cs="Calibri" w:eastAsia="Calibri" w:hAnsi="Calibri"/>
          <w:color w:val="0E1A1C"/>
          <w:sz w:val="21"/>
          <w:szCs w:val="21"/>
        </w:rPr>
        <w:t xml:space="preserve">Je ontwerpt matchingregels en kiest drempelwaarden op grond van de kosten van beide fouttypen.</w:t>
      </w:r>
    </w:p>
    <w:p>
      <w:pPr>
        <w:pStyle w:val="ListParagraph"/>
        <w:numPr>
          <w:ilvl w:val="0"/>
          <w:numId w:val="2"/>
        </w:numPr>
        <w:spacing w:after="70" w:line="280"/>
      </w:pPr>
      <w:r>
        <w:rPr>
          <w:rFonts w:ascii="Calibri" w:cs="Calibri" w:eastAsia="Calibri" w:hAnsi="Calibri"/>
          <w:color w:val="0E1A1C"/>
          <w:sz w:val="21"/>
          <w:szCs w:val="21"/>
        </w:rPr>
        <w:t xml:space="preserve">Je stelt survivorship-regels op per veld en verantwoordt de bronprioriteit.</w:t>
      </w:r>
    </w:p>
    <w:p>
      <w:pPr>
        <w:pStyle w:val="ListParagraph"/>
        <w:numPr>
          <w:ilvl w:val="0"/>
          <w:numId w:val="2"/>
        </w:numPr>
        <w:spacing w:after="70" w:line="280"/>
      </w:pPr>
      <w:r>
        <w:rPr>
          <w:rFonts w:ascii="Calibri" w:cs="Calibri" w:eastAsia="Calibri" w:hAnsi="Calibri"/>
          <w:color w:val="0E1A1C"/>
          <w:sz w:val="21"/>
          <w:szCs w:val="21"/>
        </w:rPr>
        <w:t xml:space="preserve">Je ontwerpt een stewardship-workflow met doorlooptijden en terugkoppeling naar de bron.</w:t>
      </w:r>
    </w:p>
    <w:p>
      <w:pPr>
        <w:pStyle w:val="ListParagraph"/>
        <w:numPr>
          <w:ilvl w:val="0"/>
          <w:numId w:val="2"/>
        </w:numPr>
        <w:spacing w:after="70" w:line="280"/>
      </w:pPr>
      <w:r>
        <w:rPr>
          <w:rFonts w:ascii="Calibri" w:cs="Calibri" w:eastAsia="Calibri" w:hAnsi="Calibri"/>
          <w:color w:val="0E1A1C"/>
          <w:sz w:val="21"/>
          <w:szCs w:val="21"/>
        </w:rPr>
        <w:t xml:space="preserve">Je richt referentiedatabeheer in, inclusief versiebeheer van codelijsten en mapping tussen codestelsels.</w:t>
      </w:r>
    </w:p>
    <w:p>
      <w:pPr>
        <w:pStyle w:val="ListParagraph"/>
        <w:numPr>
          <w:ilvl w:val="0"/>
          <w:numId w:val="2"/>
        </w:numPr>
        <w:spacing w:after="70" w:line="280"/>
      </w:pPr>
      <w:r>
        <w:rPr>
          <w:rFonts w:ascii="Calibri" w:cs="Calibri" w:eastAsia="Calibri" w:hAnsi="Calibri"/>
          <w:color w:val="0E1A1C"/>
          <w:sz w:val="21"/>
          <w:szCs w:val="21"/>
        </w:rPr>
        <w:t xml:space="preserve">Je meet de kwaliteit van je MDM-inrichting met indicatoren die iets zeggen.</w:t>
      </w:r>
    </w:p>
    <w:p>
      <w:r>
        <w:br w:type="page"/>
      </w:r>
    </w:p>
    <w:p>
      <w:pPr>
        <w:pStyle w:val="Heading1"/>
        <w:spacing w:after="200" w:before="420"/>
      </w:pPr>
      <w:r>
        <w:rPr>
          <w:rFonts w:ascii="Cambria" w:cs="Cambria" w:eastAsia="Cambria" w:hAnsi="Cambria"/>
          <w:b/>
          <w:bCs/>
          <w:color w:val="1B4A48"/>
          <w:sz w:val="34"/>
          <w:szCs w:val="34"/>
        </w:rPr>
        <w:t xml:space="preserve">2. Wat masterdata bijzonder maakt</w:t>
      </w:r>
    </w:p>
    <w:p>
      <w:pPr>
        <w:spacing w:after="140" w:line="288"/>
      </w:pPr>
      <w:r>
        <w:rPr>
          <w:rFonts w:ascii="Calibri" w:cs="Calibri" w:eastAsia="Calibri" w:hAnsi="Calibri"/>
          <w:color w:val="0E1A1C"/>
          <w:sz w:val="21"/>
          <w:szCs w:val="21"/>
        </w:rPr>
        <w:t xml:space="preserve">Drie eigenschappen samen maken masterdata tot een eigen discipline. Ontbreekt er één, dan is het gewoon data.</w:t>
      </w:r>
    </w:p>
    <w:p>
      <w:pPr>
        <w:pStyle w:val="ListParagraph"/>
        <w:numPr>
          <w:ilvl w:val="0"/>
          <w:numId w:val="3"/>
        </w:numPr>
        <w:spacing w:after="70" w:line="280"/>
      </w:pPr>
      <w:r>
        <w:rPr>
          <w:rFonts w:ascii="Calibri" w:cs="Calibri" w:eastAsia="Calibri" w:hAnsi="Calibri"/>
          <w:color w:val="0E1A1C"/>
          <w:sz w:val="21"/>
          <w:szCs w:val="21"/>
        </w:rPr>
        <w:t xml:space="preserve">Weinig wijzigingen. Een deelnemer verandert een paar keer per jaar; een premiebetaling bestaat één keer.</w:t>
      </w:r>
    </w:p>
    <w:p>
      <w:pPr>
        <w:pStyle w:val="ListParagraph"/>
        <w:numPr>
          <w:ilvl w:val="0"/>
          <w:numId w:val="3"/>
        </w:numPr>
        <w:spacing w:after="70" w:line="280"/>
      </w:pPr>
      <w:r>
        <w:rPr>
          <w:rFonts w:ascii="Calibri" w:cs="Calibri" w:eastAsia="Calibri" w:hAnsi="Calibri"/>
          <w:color w:val="0E1A1C"/>
          <w:sz w:val="21"/>
          <w:szCs w:val="21"/>
        </w:rPr>
        <w:t xml:space="preserve">Veel afnemers. Hetzelfde object wordt door meerdere afdelingen en systemen gebruikt, elk met een eigen kopie.</w:t>
      </w:r>
    </w:p>
    <w:p>
      <w:pPr>
        <w:pStyle w:val="ListParagraph"/>
        <w:numPr>
          <w:ilvl w:val="0"/>
          <w:numId w:val="3"/>
        </w:numPr>
        <w:spacing w:after="70" w:line="280"/>
      </w:pPr>
      <w:r>
        <w:rPr>
          <w:rFonts w:ascii="Calibri" w:cs="Calibri" w:eastAsia="Calibri" w:hAnsi="Calibri"/>
          <w:color w:val="0E1A1C"/>
          <w:sz w:val="21"/>
          <w:szCs w:val="21"/>
        </w:rPr>
        <w:t xml:space="preserve">Hoge impact bij fouten. Eén verkeerd samengevoegde deelnemer werkt door in uitkeringen, correspondentie en toezichtsrapportage tegelijk.</w:t>
      </w:r>
    </w:p>
    <w:p>
      <w:pPr>
        <w:pStyle w:val="Heading3"/>
        <w:spacing w:after="100" w:before="240"/>
      </w:pPr>
      <w:r>
        <w:rPr>
          <w:rFonts w:ascii="Calibri" w:cs="Calibri" w:eastAsia="Calibri" w:hAnsi="Calibri"/>
          <w:b/>
          <w:bCs/>
          <w:color w:val="3F7D74"/>
          <w:sz w:val="22"/>
          <w:szCs w:val="22"/>
        </w:rPr>
        <w:t xml:space="preserve">Het afbakeningscriterium</w:t>
      </w:r>
    </w:p>
    <w:p>
      <w:pPr>
        <w:spacing w:after="140" w:line="288"/>
      </w:pPr>
      <w:r>
        <w:rPr>
          <w:rFonts w:ascii="Calibri" w:cs="Calibri" w:eastAsia="Calibri" w:hAnsi="Calibri"/>
          <w:color w:val="0E1A1C"/>
          <w:sz w:val="21"/>
          <w:szCs w:val="21"/>
        </w:rPr>
        <w:t xml:space="preserve">De praktische toets: is dit een object waarnaar andere gegevens verwijzen? Premiebetalingen verwijzen naar een deelnemer en een werkgever — die twee zijn dus masterdata. Naar een premiebetaling verwijst niets; dat is transactiedata. Regelingen zitten er tussenin en zijn bij een pensioenuitvoerder doorgaans masterdata, omdat deelname en premie er allebei naar verwijzen.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grens met referentiedata</w:t>
            </w:r>
          </w:p>
          <w:p>
            <w:pPr>
              <w:spacing w:after="60" w:line="280"/>
            </w:pPr>
            <w:r>
              <w:rPr>
                <w:rFonts w:ascii="Calibri" w:cs="Calibri" w:eastAsia="Calibri" w:hAnsi="Calibri"/>
                <w:color w:val="0E1A1C"/>
                <w:sz w:val="20"/>
                <w:szCs w:val="20"/>
              </w:rPr>
              <w:t xml:space="preserve">Masterdata beschrijft objecten die bestaan in de werkelijkheid en die de organisatie zelf beheert. Referentiedata beschrijft toegestane waarden, vaak extern bepaald. "Werkgever Van Doorn Techniek" is masterdata; "sector: Industrie" is referentiedata. Het verschil bepaalt wie erover gaat: masterdata heeft een owner binnen de organisatie, referentiedata heeft een beheerder die een externe standaard volgt.</w:t>
            </w:r>
          </w:p>
        </w:tc>
      </w:tr>
    </w:tbl>
    <w:p>
      <w:pPr>
        <w:pStyle w:val="Heading1"/>
        <w:spacing w:after="200" w:before="420"/>
      </w:pPr>
      <w:r>
        <w:rPr>
          <w:rFonts w:ascii="Cambria" w:cs="Cambria" w:eastAsia="Cambria" w:hAnsi="Cambria"/>
          <w:b/>
          <w:bCs/>
          <w:color w:val="1B4A48"/>
          <w:sz w:val="34"/>
          <w:szCs w:val="34"/>
        </w:rPr>
        <w:t xml:space="preserve">3. Vier stijlen, verdiept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3000"/>
        <w:gridCol w:w="1900"/>
        <w:gridCol w:w="26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Stijl</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centraal staat</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Invoeringslast</w:t>
            </w:r>
          </w:p>
        </w:tc>
        <w:tc>
          <w:tcPr>
            <w:tcW w:type="dxa" w:w="2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Grootste risico</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Registry</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sleutels en verwijzingen; de bronnen blijven leidend</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Laag — weken tot maanden</w:t>
            </w:r>
          </w:p>
        </w:tc>
        <w:tc>
          <w:tcPr>
            <w:tcW w:type="dxa" w:w="2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probleem wordt zichtbaar en blijft bestaan; de organisatie denkt dat het is opgelost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Consolidation</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centrale kopie voor rapportage en analyse</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Middel</w:t>
            </w:r>
          </w:p>
        </w:tc>
        <w:tc>
          <w:tcPr>
            <w:tcW w:type="dxa" w:w="2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centrale kopie gaat als waarheid fungeren terwijl de bronnen blijven afwijken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Coexistence</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Centraal samengevoegd én teruggeschreven naar de bronnen</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Hoog — jaren</w:t>
            </w:r>
          </w:p>
        </w:tc>
        <w:tc>
          <w:tcPr>
            <w:tcW w:type="dxa" w:w="2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Terugschrijven raakt de operationele processen; zonder mandaat loopt het vast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Transaction</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centrale systeem is de bron; bronsystemen bevragen het</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Zeer hoog</w:t>
            </w:r>
          </w:p>
        </w:tc>
        <w:tc>
          <w:tcPr>
            <w:tcW w:type="dxa" w:w="2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Alles hangt aan één systeem; een storing legt de keten stil</w:t>
            </w:r>
          </w:p>
        </w:tc>
      </w:tr>
    </w:tbl>
    <w:p>
      <w:pPr>
        <w:spacing w:after="140"/>
      </w:pPr>
      <w:r>
        <w:t xml:space="preserve"/>
      </w:r>
    </w:p>
    <w:p>
      <w:pPr>
        <w:spacing w:after="140" w:line="288"/>
      </w:pPr>
      <w:r>
        <w:rPr>
          <w:rFonts w:ascii="Calibri" w:cs="Calibri" w:eastAsia="Calibri" w:hAnsi="Calibri"/>
          <w:color w:val="0E1A1C"/>
          <w:sz w:val="21"/>
          <w:szCs w:val="21"/>
        </w:rPr>
        <w:t xml:space="preserve">De keuze volgt uit het landschap, niet uit ambitie. Twee vragen bepalen hem grotendeels: kun je de bronsystemen laten wijzigen, en heb je het mandaat om dat af te dwingen? Bij Meridiaan is het antwoord op beide voorlopig nee — de polisadministratie is vijfendertig jaar oud en de governance staat op niveau 1. Dat sluit coexistence en transaction praktisch uit, hoe wenselijk ze ook zijn.</w:t>
      </w:r>
    </w:p>
    <w:p>
      <w:pPr>
        <w:spacing w:after="140" w:line="288"/>
      </w:pPr>
      <w:r>
        <w:rPr>
          <w:rFonts w:ascii="Calibri" w:cs="Calibri" w:eastAsia="Calibri" w:hAnsi="Calibri"/>
          <w:color w:val="0E1A1C"/>
          <w:sz w:val="21"/>
          <w:szCs w:val="21"/>
        </w:rPr>
        <w:t xml:space="preserve">Een groeipad is legitiem en verdient de voorkeur boven een grote sprong: begin bij registry om zichtbaar te maken hoe groot het probleem is, ga naar consolidation zodra de rapportage het nodig heeft, en overweeg coexistence pas wanneer er eigenaarschap en mandaat zijn. Leg dat pad wel vast, anders blijft de organisatie hangen in de eerste stap.</w:t>
      </w:r>
    </w:p>
    <w:p>
      <w:r>
        <w:br w:type="page"/>
      </w:r>
    </w:p>
    <w:p>
      <w:pPr>
        <w:pStyle w:val="Heading1"/>
        <w:spacing w:after="200" w:before="420"/>
      </w:pPr>
      <w:r>
        <w:rPr>
          <w:rFonts w:ascii="Cambria" w:cs="Cambria" w:eastAsia="Cambria" w:hAnsi="Cambria"/>
          <w:b/>
          <w:bCs/>
          <w:color w:val="1B4A48"/>
          <w:sz w:val="34"/>
          <w:szCs w:val="34"/>
        </w:rPr>
        <w:t xml:space="preserve">4. Matchen</w:t>
      </w:r>
    </w:p>
    <w:p>
      <w:pPr>
        <w:spacing w:after="140" w:line="288"/>
      </w:pPr>
      <w:r>
        <w:rPr>
          <w:rFonts w:ascii="Calibri" w:cs="Calibri" w:eastAsia="Calibri" w:hAnsi="Calibri"/>
          <w:color w:val="0E1A1C"/>
          <w:sz w:val="21"/>
          <w:szCs w:val="21"/>
        </w:rPr>
        <w:t xml:space="preserve">Matchen bepaalt welke records over hetzelfde object gaan. Het is de stap waar de meeste schade ontstaat, in twee richtingen tegelijk.</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000"/>
        <w:gridCol w:w="2300"/>
        <w:gridCol w:w="20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Aanpak</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het werkt</w:t>
            </w:r>
          </w:p>
        </w:tc>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Sterk bij</w:t>
            </w:r>
          </w:p>
        </w:tc>
        <w:tc>
          <w:tcPr>
            <w:tcW w:type="dxa" w:w="2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Zwak bij</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Deterministisch</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Exacte overeenkomst op een of meer sleutels</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Betrouwbare identificatoren zoals een BSN</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Tikfouten, ontbrekende waarden, naamsvarianten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Probabilistisch</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Score op basis van gewogen overeenkomst per veld</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Rommelige data zonder betrouwbare sleutel</w:t>
            </w:r>
          </w:p>
        </w:tc>
        <w:tc>
          <w:tcPr>
            <w:tcW w:type="dxa" w:w="2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Uitlegbaarheid; een score is lastiger te verdedigen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Hybride</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Eerst deterministisch, restgroep probabilistisch</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Vrijwel elke praktijksituatie</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Vraagt meer inrichting en onderhoud</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Twee soorten fouten, twee soorten schade</w:t>
      </w:r>
    </w:p>
    <w:p>
      <w:pPr>
        <w:pStyle w:val="ListParagraph"/>
        <w:numPr>
          <w:ilvl w:val="0"/>
          <w:numId w:val="3"/>
        </w:numPr>
        <w:spacing w:after="70" w:line="280"/>
      </w:pPr>
      <w:r>
        <w:rPr>
          <w:rFonts w:ascii="Calibri" w:cs="Calibri" w:eastAsia="Calibri" w:hAnsi="Calibri"/>
          <w:color w:val="0E1A1C"/>
          <w:sz w:val="21"/>
          <w:szCs w:val="21"/>
        </w:rPr>
        <w:t xml:space="preserve">Een onterechte match voegt twee verschillende mensen samen. De schade is groot en zichtbaar: iemand krijgt de post of het pensioen van een ander. Dit is de duurste fout.</w:t>
      </w:r>
    </w:p>
    <w:p>
      <w:pPr>
        <w:pStyle w:val="ListParagraph"/>
        <w:numPr>
          <w:ilvl w:val="0"/>
          <w:numId w:val="3"/>
        </w:numPr>
        <w:spacing w:after="70" w:line="280"/>
      </w:pPr>
      <w:r>
        <w:rPr>
          <w:rFonts w:ascii="Calibri" w:cs="Calibri" w:eastAsia="Calibri" w:hAnsi="Calibri"/>
          <w:color w:val="0E1A1C"/>
          <w:sz w:val="21"/>
          <w:szCs w:val="21"/>
        </w:rPr>
        <w:t xml:space="preserve">Een gemiste match laat een dubbele bestaan. De schade is kleiner en onzichtbaar: dubbele correspondentie, een verkeerd totaal in de rapportage.</w:t>
      </w:r>
    </w:p>
    <w:p>
      <w:pPr>
        <w:spacing w:after="140" w:line="288"/>
      </w:pPr>
      <w:r>
        <w:rPr>
          <w:rFonts w:ascii="Calibri" w:cs="Calibri" w:eastAsia="Calibri" w:hAnsi="Calibri"/>
          <w:color w:val="0E1A1C"/>
          <w:sz w:val="21"/>
          <w:szCs w:val="21"/>
        </w:rPr>
        <w:t xml:space="preserve">Omdat de schade asymmetrisch is, hoort je drempelwaarde dat ook te zijn. Werk met drie zones: boven de bovendrempel automatisch samenvoegen, onder de onderdrempel niet, en daartussen naar de stewardship-queue. Hoe verder de zones uit elkaar liggen, hoe meer handwerk en hoe minder fouten — dat is de knop waaraan je draait.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Blocking</w:t>
            </w:r>
          </w:p>
          <w:p>
            <w:pPr>
              <w:spacing w:after="60" w:line="280"/>
            </w:pPr>
            <w:r>
              <w:rPr>
                <w:rFonts w:ascii="Calibri" w:cs="Calibri" w:eastAsia="Calibri" w:hAnsi="Calibri"/>
                <w:color w:val="0E1A1C"/>
                <w:sz w:val="20"/>
                <w:szCs w:val="20"/>
              </w:rPr>
              <w:t xml:space="preserve">Ieder record met ieder ander vergelijken is bij 380.000 deelnemers niet te doen: dat zijn zeventig miljard vergelijkingen. Blocking beperkt de vergelijking tot records die op één kenmerk overeenkomen, bijvoorbeeld geboortejaar of de eerste vier cijfers van de postcode. Kies dat kenmerk zorgvuldig: wie blokt op een veld dat zelf fouten bevat, mist precies de dubbelen die hij zoekt.</w:t>
            </w:r>
          </w:p>
        </w:tc>
      </w:tr>
    </w:tbl>
    <w:p>
      <w:pPr>
        <w:pStyle w:val="Heading1"/>
        <w:spacing w:after="200" w:before="420"/>
      </w:pPr>
      <w:r>
        <w:rPr>
          <w:rFonts w:ascii="Cambria" w:cs="Cambria" w:eastAsia="Cambria" w:hAnsi="Cambria"/>
          <w:b/>
          <w:bCs/>
          <w:color w:val="1B4A48"/>
          <w:sz w:val="34"/>
          <w:szCs w:val="34"/>
        </w:rPr>
        <w:t xml:space="preserve">5. Survivorship</w:t>
      </w:r>
    </w:p>
    <w:p>
      <w:pPr>
        <w:spacing w:after="140" w:line="288"/>
      </w:pPr>
      <w:r>
        <w:rPr>
          <w:rFonts w:ascii="Calibri" w:cs="Calibri" w:eastAsia="Calibri" w:hAnsi="Calibri"/>
          <w:color w:val="0E1A1C"/>
          <w:sz w:val="21"/>
          <w:szCs w:val="21"/>
        </w:rPr>
        <w:t xml:space="preserve">Als twee records samengaan, moet per veld worden bepaald welke waarde wint. Dat is geen technische keuze maar een inhoudelijk besluit, en het antwoord verschilt per veld.</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200"/>
        <w:gridCol w:w="39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Regel</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hij doet</w:t>
            </w:r>
          </w:p>
        </w:tc>
        <w:tc>
          <w:tcPr>
            <w:tcW w:type="dxa" w:w="3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Passend bij</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Bronprioriteit</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vastgestelde rangorde van bronnen wint</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Velden waarvan één systeem de aangewezen bron is, zoals het IBAN uit de administratie</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Recentheid</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meest recent gewijzigde waarde wint</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Adres, telefoonnummer, e-mail</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Volledigheid</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gevulde waarde wint van de lege</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Velden waar leeg vaker voorkomt dan fout</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Betrouwbaarheidsscore</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waarde met de hoogste kwaliteitsscore wint</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Velden waarop een validatieregel bestaat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Handmatig</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steward beslist</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Velden waar de kosten van een fout hoog zijn</w:t>
            </w:r>
          </w:p>
        </w:tc>
      </w:tr>
    </w:tbl>
    <w:p>
      <w:pPr>
        <w:spacing w:after="140"/>
      </w:pPr>
      <w:r>
        <w:t xml:space="preserve"/>
      </w:r>
    </w:p>
    <w:p>
      <w:pPr>
        <w:spacing w:after="140" w:line="288"/>
      </w:pPr>
      <w:r>
        <w:rPr>
          <w:rFonts w:ascii="Calibri" w:cs="Calibri" w:eastAsia="Calibri" w:hAnsi="Calibri"/>
          <w:color w:val="0E1A1C"/>
          <w:sz w:val="21"/>
          <w:szCs w:val="21"/>
        </w:rPr>
        <w:t xml:space="preserve">Bij de drievoudige werkgever van Meridiaan botsen deze regels. Recentheid wijst naar het laatst gewijzigde record, bronprioriteit naar de polisadministratie, volledigheid naar het record met het meest ingevulde adres — en dat zijn drie verschillende records. Dat is geen ongeluk maar het normale geval, en het is precies waarom survivorship een besluit vraagt en geen instelling.</w:t>
      </w:r>
    </w:p>
    <w:p>
      <w:pPr>
        <w:pStyle w:val="Heading1"/>
        <w:spacing w:after="200" w:before="420"/>
      </w:pPr>
      <w:r>
        <w:rPr>
          <w:rFonts w:ascii="Cambria" w:cs="Cambria" w:eastAsia="Cambria" w:hAnsi="Cambria"/>
          <w:b/>
          <w:bCs/>
          <w:color w:val="1B4A48"/>
          <w:sz w:val="34"/>
          <w:szCs w:val="34"/>
        </w:rPr>
        <w:t xml:space="preserve">6. Golden record en system of record</w:t>
      </w:r>
    </w:p>
    <w:p>
      <w:pPr>
        <w:spacing w:after="140" w:line="288"/>
      </w:pPr>
      <w:r>
        <w:rPr>
          <w:rFonts w:ascii="Calibri" w:cs="Calibri" w:eastAsia="Calibri" w:hAnsi="Calibri"/>
          <w:color w:val="0E1A1C"/>
          <w:sz w:val="21"/>
          <w:szCs w:val="21"/>
        </w:rPr>
        <w:t xml:space="preserve">Deze twee worden voortdurend verward. Het system of record is een aangewezen systeem: het is gezaghebbend voor een gegeven. Het golden record is een samengestelde waarheid: het bestaat nergens in een bronsysteem in die vorm.</w:t>
      </w:r>
    </w:p>
    <w:p>
      <w:pPr>
        <w:pStyle w:val="ListParagraph"/>
        <w:numPr>
          <w:ilvl w:val="0"/>
          <w:numId w:val="3"/>
        </w:numPr>
        <w:spacing w:after="70" w:line="280"/>
      </w:pPr>
      <w:r>
        <w:rPr>
          <w:rFonts w:ascii="Calibri" w:cs="Calibri" w:eastAsia="Calibri" w:hAnsi="Calibri"/>
          <w:color w:val="0E1A1C"/>
          <w:sz w:val="21"/>
          <w:szCs w:val="21"/>
        </w:rPr>
        <w:t xml:space="preserve">Bij registry bestaat er geen golden record — er is alleen een verwijzing naar het system of record per gegeven.</w:t>
      </w:r>
    </w:p>
    <w:p>
      <w:pPr>
        <w:pStyle w:val="ListParagraph"/>
        <w:numPr>
          <w:ilvl w:val="0"/>
          <w:numId w:val="3"/>
        </w:numPr>
        <w:spacing w:after="70" w:line="280"/>
      </w:pPr>
      <w:r>
        <w:rPr>
          <w:rFonts w:ascii="Calibri" w:cs="Calibri" w:eastAsia="Calibri" w:hAnsi="Calibri"/>
          <w:color w:val="0E1A1C"/>
          <w:sz w:val="21"/>
          <w:szCs w:val="21"/>
        </w:rPr>
        <w:t xml:space="preserve">Bij consolidation en coexistence is het golden record een samenstelling uit meerdere bronnen.</w:t>
      </w:r>
    </w:p>
    <w:p>
      <w:pPr>
        <w:pStyle w:val="ListParagraph"/>
        <w:numPr>
          <w:ilvl w:val="0"/>
          <w:numId w:val="3"/>
        </w:numPr>
        <w:spacing w:after="70" w:line="280"/>
      </w:pPr>
      <w:r>
        <w:rPr>
          <w:rFonts w:ascii="Calibri" w:cs="Calibri" w:eastAsia="Calibri" w:hAnsi="Calibri"/>
          <w:color w:val="0E1A1C"/>
          <w:sz w:val="21"/>
          <w:szCs w:val="21"/>
        </w:rPr>
        <w:t xml:space="preserve">Bij transaction vallen ze samen: het centrale systeem is zowel bron als golden record.</w:t>
      </w:r>
    </w:p>
    <w:p>
      <w:pPr>
        <w:spacing w:after="140" w:line="288"/>
      </w:pPr>
      <w:r>
        <w:rPr>
          <w:rFonts w:ascii="Calibri" w:cs="Calibri" w:eastAsia="Calibri" w:hAnsi="Calibri"/>
          <w:color w:val="0E1A1C"/>
          <w:sz w:val="21"/>
          <w:szCs w:val="21"/>
        </w:rPr>
        <w:t xml:space="preserve">Praktisch gevolg: leg per kritiek gegeven vast wat het system of record is, ook als je nog geen MDM hebt. Dat is de goedkoopste maatregel uit dit hele deel en hij lost een verrassend groot deel van de discussies op.</w:t>
      </w:r>
    </w:p>
    <w:p>
      <w:r>
        <w:br w:type="page"/>
      </w:r>
    </w:p>
    <w:p>
      <w:pPr>
        <w:pStyle w:val="Heading1"/>
        <w:spacing w:after="200" w:before="420"/>
      </w:pPr>
      <w:r>
        <w:rPr>
          <w:rFonts w:ascii="Cambria" w:cs="Cambria" w:eastAsia="Cambria" w:hAnsi="Cambria"/>
          <w:b/>
          <w:bCs/>
          <w:color w:val="1B4A48"/>
          <w:sz w:val="34"/>
          <w:szCs w:val="34"/>
        </w:rPr>
        <w:t xml:space="preserve">7. Stewardship-workflow</w:t>
      </w:r>
    </w:p>
    <w:p>
      <w:pPr>
        <w:spacing w:after="140" w:line="288"/>
      </w:pPr>
      <w:r>
        <w:rPr>
          <w:rFonts w:ascii="Calibri" w:cs="Calibri" w:eastAsia="Calibri" w:hAnsi="Calibri"/>
          <w:color w:val="0E1A1C"/>
          <w:sz w:val="21"/>
          <w:szCs w:val="21"/>
        </w:rPr>
        <w:t xml:space="preserve">Automatisch matchen lost het grootste deel op. De rest komt in een queue, en die queue is waar MDM-programma’s stranden: hij loopt vol, niemand voelt zich verantwoordelijk, en na een half jaar staan er duizenden onbehandelde gevallen.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300"/>
        <w:gridCol w:w="40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Element</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Ontwerpvraag</w:t>
            </w:r>
          </w:p>
        </w:tc>
        <w:tc>
          <w:tcPr>
            <w:tcW w:type="dxa" w:w="4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Instroom</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gevallen per week verwacht je?</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61 dubbelen op 12.000 records: enkele tientallen per maand</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Behandelaar</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beslist, en hoeveel uur heeft die daarvoor?</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steward van het domein, uren vastgelegd</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Doorlooptijd</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Binnen hoeveel dagen is een geval behandeld?</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Vijf werkdagen; daarna escalatie naar de data owner</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Terugkoppeling</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de bron gecorrigeerd of alleen het golden record?</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Beide — anders komt hetzelfde geval terug</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Meting</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zie je dat de queue oploopt?</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open gevallen en gemiddelde leeftijd, wekelijks</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terugkoppeling is de crux</w:t>
            </w:r>
          </w:p>
          <w:p>
            <w:pPr>
              <w:spacing w:after="60" w:line="280"/>
            </w:pPr>
            <w:r>
              <w:rPr>
                <w:rFonts w:ascii="Calibri" w:cs="Calibri" w:eastAsia="Calibri" w:hAnsi="Calibri"/>
                <w:color w:val="0E1A1C"/>
                <w:sz w:val="20"/>
                <w:szCs w:val="20"/>
              </w:rPr>
              <w:t xml:space="preserve">Wie alleen het golden record corrigeert en de bron laat staan, krijgt hetzelfde geval bij de volgende lading opnieuw. Dat is niet alleen inefficiënt: het maakt de queue oneindig en ondermijnt het vertrouwen van de steward in zijn eigen werk. Terugkoppeling naar de bron is de duurste ontwerpkeuze in een MDM-inrichting en de enige die hem houdbaar maakt.</w:t>
            </w:r>
          </w:p>
        </w:tc>
      </w:tr>
    </w:tbl>
    <w:p>
      <w:pPr>
        <w:pStyle w:val="Heading1"/>
        <w:spacing w:after="200" w:before="420"/>
      </w:pPr>
      <w:r>
        <w:rPr>
          <w:rFonts w:ascii="Cambria" w:cs="Cambria" w:eastAsia="Cambria" w:hAnsi="Cambria"/>
          <w:b/>
          <w:bCs/>
          <w:color w:val="1B4A48"/>
          <w:sz w:val="34"/>
          <w:szCs w:val="34"/>
        </w:rPr>
        <w:t xml:space="preserve">8. Referentiedatabeheer</w:t>
      </w:r>
    </w:p>
    <w:p>
      <w:pPr>
        <w:spacing w:after="140" w:line="288"/>
      </w:pPr>
      <w:r>
        <w:rPr>
          <w:rFonts w:ascii="Calibri" w:cs="Calibri" w:eastAsia="Calibri" w:hAnsi="Calibri"/>
          <w:color w:val="0E1A1C"/>
          <w:sz w:val="21"/>
          <w:szCs w:val="21"/>
        </w:rPr>
        <w:t xml:space="preserve">Codelijsten wijzigen zelden, en juist daarom is het beheer nergens belegd. Tot een code verandert — en dan blijkt dat vijf systemen elk een eigen kopie hebben, waarvan er drie worden bijgewerkt.</w:t>
      </w:r>
    </w:p>
    <w:p>
      <w:pPr>
        <w:pStyle w:val="Heading3"/>
        <w:spacing w:after="100" w:before="240"/>
      </w:pPr>
      <w:r>
        <w:rPr>
          <w:rFonts w:ascii="Calibri" w:cs="Calibri" w:eastAsia="Calibri" w:hAnsi="Calibri"/>
          <w:b/>
          <w:bCs/>
          <w:color w:val="3F7D74"/>
          <w:sz w:val="22"/>
          <w:szCs w:val="22"/>
        </w:rPr>
        <w:t xml:space="preserve">Wat je inricht</w:t>
      </w:r>
    </w:p>
    <w:p>
      <w:pPr>
        <w:pStyle w:val="ListParagraph"/>
        <w:numPr>
          <w:ilvl w:val="0"/>
          <w:numId w:val="4"/>
        </w:numPr>
        <w:spacing w:after="70" w:line="280"/>
      </w:pPr>
      <w:r>
        <w:rPr>
          <w:rFonts w:ascii="Calibri" w:cs="Calibri" w:eastAsia="Calibri" w:hAnsi="Calibri"/>
          <w:color w:val="0E1A1C"/>
          <w:sz w:val="21"/>
          <w:szCs w:val="21"/>
        </w:rPr>
        <w:t xml:space="preserve">Een register van codelijsten: welke lijsten bestaan er, wie beheert ze, en welke systemen gebruiken ze?</w:t>
      </w:r>
    </w:p>
    <w:p>
      <w:pPr>
        <w:pStyle w:val="ListParagraph"/>
        <w:numPr>
          <w:ilvl w:val="0"/>
          <w:numId w:val="4"/>
        </w:numPr>
        <w:spacing w:after="70" w:line="280"/>
      </w:pPr>
      <w:r>
        <w:rPr>
          <w:rFonts w:ascii="Calibri" w:cs="Calibri" w:eastAsia="Calibri" w:hAnsi="Calibri"/>
          <w:color w:val="0E1A1C"/>
          <w:sz w:val="21"/>
          <w:szCs w:val="21"/>
        </w:rPr>
        <w:t xml:space="preserve">Herkomst per lijst: intern bepaald of afgeleid van een externe standaard? Bij extern: welke versie, en hoe hoor je van een wijziging?</w:t>
      </w:r>
    </w:p>
    <w:p>
      <w:pPr>
        <w:pStyle w:val="ListParagraph"/>
        <w:numPr>
          <w:ilvl w:val="0"/>
          <w:numId w:val="4"/>
        </w:numPr>
        <w:spacing w:after="70" w:line="280"/>
      </w:pPr>
      <w:r>
        <w:rPr>
          <w:rFonts w:ascii="Calibri" w:cs="Calibri" w:eastAsia="Calibri" w:hAnsi="Calibri"/>
          <w:color w:val="0E1A1C"/>
          <w:sz w:val="21"/>
          <w:szCs w:val="21"/>
        </w:rPr>
        <w:t xml:space="preserve">Versiebeheer: elke lijst heeft een versienummer en een ingangsdatum. Zonder dat kun je historische rapportages niet reproduceren.</w:t>
      </w:r>
    </w:p>
    <w:p>
      <w:pPr>
        <w:pStyle w:val="ListParagraph"/>
        <w:numPr>
          <w:ilvl w:val="0"/>
          <w:numId w:val="4"/>
        </w:numPr>
        <w:spacing w:after="70" w:line="280"/>
      </w:pPr>
      <w:r>
        <w:rPr>
          <w:rFonts w:ascii="Calibri" w:cs="Calibri" w:eastAsia="Calibri" w:hAnsi="Calibri"/>
          <w:color w:val="0E1A1C"/>
          <w:sz w:val="21"/>
          <w:szCs w:val="21"/>
        </w:rPr>
        <w:t xml:space="preserve">Mapping tussen codestelsels waar systemen verschillende codes gebruiken voor hetzelfde. Die mapping is zelf referentiedata en heeft een eigen eigenaar nodig.</w:t>
      </w:r>
    </w:p>
    <w:p>
      <w:pPr>
        <w:pStyle w:val="ListParagraph"/>
        <w:numPr>
          <w:ilvl w:val="0"/>
          <w:numId w:val="4"/>
        </w:numPr>
        <w:spacing w:after="70" w:line="280"/>
      </w:pPr>
      <w:r>
        <w:rPr>
          <w:rFonts w:ascii="Calibri" w:cs="Calibri" w:eastAsia="Calibri" w:hAnsi="Calibri"/>
          <w:color w:val="0E1A1C"/>
          <w:sz w:val="21"/>
          <w:szCs w:val="21"/>
        </w:rPr>
        <w:t xml:space="preserve">Een wijzigingsproces, met dezelfde stappen als het begripswijzigingsproces uit deel 13 — inclusief de communicatiestap.</w:t>
      </w:r>
    </w:p>
    <w:p>
      <w:pPr>
        <w:spacing w:after="140" w:line="288"/>
      </w:pPr>
      <w:r>
        <w:rPr>
          <w:rFonts w:ascii="Calibri" w:cs="Calibri" w:eastAsia="Calibri" w:hAnsi="Calibri"/>
          <w:color w:val="0E1A1C"/>
          <w:sz w:val="21"/>
          <w:szCs w:val="21"/>
        </w:rPr>
        <w:t xml:space="preserve">Het versiebeheer is het onderdeel dat het vaakst ontbreekt en dat het meeste oplevert. Een sectorindeling die in 2024 is gewijzigd, maakt een vergelijking met 2023 betekenisloos — tenzij je beide versies hebt en weet wanneer de overgang plaatsvond.</w:t>
      </w:r>
    </w:p>
    <w:p>
      <w:pPr>
        <w:pStyle w:val="Heading1"/>
        <w:spacing w:after="200" w:before="420"/>
      </w:pPr>
      <w:r>
        <w:rPr>
          <w:rFonts w:ascii="Cambria" w:cs="Cambria" w:eastAsia="Cambria" w:hAnsi="Cambria"/>
          <w:b/>
          <w:bCs/>
          <w:color w:val="1B4A48"/>
          <w:sz w:val="34"/>
          <w:szCs w:val="34"/>
        </w:rPr>
        <w:t xml:space="preserve">9. Externe bronnen</w:t>
      </w:r>
    </w:p>
    <w:p>
      <w:pPr>
        <w:spacing w:after="140" w:line="288"/>
      </w:pPr>
      <w:r>
        <w:rPr>
          <w:rFonts w:ascii="Calibri" w:cs="Calibri" w:eastAsia="Calibri" w:hAnsi="Calibri"/>
          <w:color w:val="0E1A1C"/>
          <w:sz w:val="21"/>
          <w:szCs w:val="21"/>
        </w:rPr>
        <w:t xml:space="preserve">Voor een deel van de masterdata bestaan gezaghebbende externe bronnen. Aansluiten daarop lost het matchingprobleem niet op maar verkleint het aanzienlijk.</w:t>
      </w:r>
    </w:p>
    <w:p>
      <w:pPr>
        <w:pStyle w:val="ListParagraph"/>
        <w:numPr>
          <w:ilvl w:val="0"/>
          <w:numId w:val="3"/>
        </w:numPr>
        <w:spacing w:after="70" w:line="280"/>
      </w:pPr>
      <w:r>
        <w:rPr>
          <w:rFonts w:ascii="Calibri" w:cs="Calibri" w:eastAsia="Calibri" w:hAnsi="Calibri"/>
          <w:color w:val="0E1A1C"/>
          <w:sz w:val="21"/>
          <w:szCs w:val="21"/>
        </w:rPr>
        <w:t xml:space="preserve">Overweeg aansluiting waar een externe bron gezaghebbender is dan je eigen administratie, en waar het gebruik juridisch is toegestaan.</w:t>
      </w:r>
    </w:p>
    <w:p>
      <w:pPr>
        <w:pStyle w:val="ListParagraph"/>
        <w:numPr>
          <w:ilvl w:val="0"/>
          <w:numId w:val="3"/>
        </w:numPr>
        <w:spacing w:after="70" w:line="280"/>
      </w:pPr>
      <w:r>
        <w:rPr>
          <w:rFonts w:ascii="Calibri" w:cs="Calibri" w:eastAsia="Calibri" w:hAnsi="Calibri"/>
          <w:color w:val="0E1A1C"/>
          <w:sz w:val="21"/>
          <w:szCs w:val="21"/>
        </w:rPr>
        <w:t xml:space="preserve">Maak expliciet wat er gebeurt bij een verschil tussen de externe bron en je eigen gegevens. Blind overnemen is zelden juist; negeren evenmin.</w:t>
      </w:r>
    </w:p>
    <w:p>
      <w:pPr>
        <w:pStyle w:val="ListParagraph"/>
        <w:numPr>
          <w:ilvl w:val="0"/>
          <w:numId w:val="3"/>
        </w:numPr>
        <w:spacing w:after="70" w:line="280"/>
      </w:pPr>
      <w:r>
        <w:rPr>
          <w:rFonts w:ascii="Calibri" w:cs="Calibri" w:eastAsia="Calibri" w:hAnsi="Calibri"/>
          <w:color w:val="0E1A1C"/>
          <w:sz w:val="21"/>
          <w:szCs w:val="21"/>
        </w:rPr>
        <w:t xml:space="preserve">Leg de actualiteitsafspraak vast: hoe vaak wordt ververst, en wat is de maximale afwijking die je accepteert?</w:t>
      </w:r>
    </w:p>
    <w:p>
      <w:pPr>
        <w:pStyle w:val="ListParagraph"/>
        <w:numPr>
          <w:ilvl w:val="0"/>
          <w:numId w:val="3"/>
        </w:numPr>
        <w:spacing w:after="70" w:line="280"/>
      </w:pPr>
      <w:r>
        <w:rPr>
          <w:rFonts w:ascii="Calibri" w:cs="Calibri" w:eastAsia="Calibri" w:hAnsi="Calibri"/>
          <w:color w:val="0E1A1C"/>
          <w:sz w:val="21"/>
          <w:szCs w:val="21"/>
        </w:rPr>
        <w:t xml:space="preserve">Reken op een terugmeldplicht of -mogelijkheid bij geconstateerde onjuistheden, afhankelijk van de bron.</w:t>
      </w:r>
    </w:p>
    <w:p>
      <w:pPr>
        <w:pStyle w:val="Heading1"/>
        <w:spacing w:after="200" w:before="420"/>
      </w:pPr>
      <w:r>
        <w:rPr>
          <w:rFonts w:ascii="Cambria" w:cs="Cambria" w:eastAsia="Cambria" w:hAnsi="Cambria"/>
          <w:b/>
          <w:bCs/>
          <w:color w:val="1B4A48"/>
          <w:sz w:val="34"/>
          <w:szCs w:val="34"/>
        </w:rPr>
        <w:t xml:space="preserve">10. Meten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3400"/>
        <w:gridCol w:w="34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Indicator</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zegt</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Signaalwaarde</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Duplicaatgraad</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objecten dat meer dan één keer voorkomt</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uitkomstmaat; alle andere zijn voorwaarden</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Automatische matchgraad</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dat zonder tussenkomst wordt afgehandeld</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 hoog kan betekenen dat je drempel te ruim staat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Onterechte matches</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teruggedraaide samenvoegingen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Elke onterechte match is er één te veel</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 gevallen in de queue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Of de stewardship-capaciteit toereikend is</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Structurele groei betekent onderbezetting of een te strenge drempel</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Leeftijd van open gevallen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Of er daadwerkelijk wordt behandeld</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Boven de tien werkdagen wordt de queue een archief</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Terugkoppelgraad</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correcties dat ook in de bron landt</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Onder de 50% keert hetzelfde geval terug</w:t>
            </w:r>
          </w:p>
        </w:tc>
      </w:tr>
    </w:tbl>
    <w:p>
      <w:r>
        <w:br w:type="page"/>
      </w:r>
    </w:p>
    <w:p>
      <w:pPr>
        <w:pStyle w:val="Heading1"/>
        <w:spacing w:after="200" w:before="420"/>
      </w:pPr>
      <w:r>
        <w:rPr>
          <w:rFonts w:ascii="Cambria" w:cs="Cambria" w:eastAsia="Cambria" w:hAnsi="Cambria"/>
          <w:b/>
          <w:bCs/>
          <w:color w:val="1B4A48"/>
          <w:sz w:val="34"/>
          <w:szCs w:val="34"/>
        </w:rPr>
        <w:t xml:space="preserve">11. Vijf valkuilen</w:t>
      </w:r>
    </w:p>
    <w:p>
      <w:pPr>
        <w:pStyle w:val="ListParagraph"/>
        <w:numPr>
          <w:ilvl w:val="0"/>
          <w:numId w:val="5"/>
        </w:numPr>
        <w:spacing w:after="70" w:line="280"/>
      </w:pPr>
      <w:r>
        <w:rPr>
          <w:rFonts w:ascii="Calibri" w:cs="Calibri" w:eastAsia="Calibri" w:hAnsi="Calibri"/>
          <w:color w:val="0E1A1C"/>
          <w:sz w:val="21"/>
          <w:szCs w:val="21"/>
        </w:rPr>
        <w:t xml:space="preserve">MDM inzetten voor een probleem dat een definitieprobleem is. MDM lost identificatie op, geen betekenisverschil.</w:t>
      </w:r>
    </w:p>
    <w:p>
      <w:pPr>
        <w:pStyle w:val="ListParagraph"/>
        <w:numPr>
          <w:ilvl w:val="0"/>
          <w:numId w:val="5"/>
        </w:numPr>
        <w:spacing w:after="70" w:line="280"/>
      </w:pPr>
      <w:r>
        <w:rPr>
          <w:rFonts w:ascii="Calibri" w:cs="Calibri" w:eastAsia="Calibri" w:hAnsi="Calibri"/>
          <w:color w:val="0E1A1C"/>
          <w:sz w:val="21"/>
          <w:szCs w:val="21"/>
        </w:rPr>
        <w:t xml:space="preserve">Eén survivorship-regel voor alle velden instellen omdat de tool dat toestaat.</w:t>
      </w:r>
    </w:p>
    <w:p>
      <w:pPr>
        <w:pStyle w:val="ListParagraph"/>
        <w:numPr>
          <w:ilvl w:val="0"/>
          <w:numId w:val="5"/>
        </w:numPr>
        <w:spacing w:after="70" w:line="280"/>
      </w:pPr>
      <w:r>
        <w:rPr>
          <w:rFonts w:ascii="Calibri" w:cs="Calibri" w:eastAsia="Calibri" w:hAnsi="Calibri"/>
          <w:color w:val="0E1A1C"/>
          <w:sz w:val="21"/>
          <w:szCs w:val="21"/>
        </w:rPr>
        <w:t xml:space="preserve">De drempelwaarde symmetrisch kiezen terwijl de schade dat niet is.</w:t>
      </w:r>
    </w:p>
    <w:p>
      <w:pPr>
        <w:pStyle w:val="ListParagraph"/>
        <w:numPr>
          <w:ilvl w:val="0"/>
          <w:numId w:val="5"/>
        </w:numPr>
        <w:spacing w:after="70" w:line="280"/>
      </w:pPr>
      <w:r>
        <w:rPr>
          <w:rFonts w:ascii="Calibri" w:cs="Calibri" w:eastAsia="Calibri" w:hAnsi="Calibri"/>
          <w:color w:val="0E1A1C"/>
          <w:sz w:val="21"/>
          <w:szCs w:val="21"/>
        </w:rPr>
        <w:t xml:space="preserve">De queue ontwerpen zonder capaciteit en zonder terugkoppeling naar de bron.</w:t>
      </w:r>
    </w:p>
    <w:p>
      <w:pPr>
        <w:pStyle w:val="ListParagraph"/>
        <w:numPr>
          <w:ilvl w:val="0"/>
          <w:numId w:val="5"/>
        </w:numPr>
        <w:spacing w:after="70" w:line="280"/>
      </w:pPr>
      <w:r>
        <w:rPr>
          <w:rFonts w:ascii="Calibri" w:cs="Calibri" w:eastAsia="Calibri" w:hAnsi="Calibri"/>
          <w:color w:val="0E1A1C"/>
          <w:sz w:val="21"/>
          <w:szCs w:val="21"/>
        </w:rPr>
        <w:t xml:space="preserve">Referentiedatabeheer overslaan omdat het saai is, en dan bij een codewijziging drie kwartalen kwijt zijn.</w:t>
      </w:r>
    </w:p>
    <w:p>
      <w:pPr>
        <w:pStyle w:val="Heading1"/>
        <w:spacing w:after="200" w:before="420"/>
      </w:pPr>
      <w:r>
        <w:rPr>
          <w:rFonts w:ascii="Cambria" w:cs="Cambria" w:eastAsia="Cambria" w:hAnsi="Cambria"/>
          <w:b/>
          <w:bCs/>
          <w:color w:val="1B4A48"/>
          <w:sz w:val="34"/>
          <w:szCs w:val="34"/>
        </w:rPr>
        <w:t xml:space="preserve">12. Examenrelevantie</w:t>
      </w:r>
    </w:p>
    <w:p>
      <w:pPr>
        <w:spacing w:after="140" w:line="288"/>
      </w:pPr>
      <w:r>
        <w:rPr>
          <w:rFonts w:ascii="Calibri" w:cs="Calibri" w:eastAsia="Calibri" w:hAnsi="Calibri"/>
          <w:color w:val="0E1A1C"/>
          <w:sz w:val="21"/>
          <w:szCs w:val="21"/>
        </w:rPr>
        <w:t xml:space="preserve">Dit deel is de kern van de voorbereiding op het CDMP-specialistexamen Reference &amp; Master Data Management. De terminologie volgt de DAMA-DMBOK2 Revised Edition.</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Het onderscheid tussen master data, reference data en transaction data, met de verwijzingstoets.</w:t>
      </w:r>
    </w:p>
    <w:p>
      <w:pPr>
        <w:pStyle w:val="ListParagraph"/>
        <w:numPr>
          <w:ilvl w:val="0"/>
          <w:numId w:val="3"/>
        </w:numPr>
        <w:spacing w:after="70" w:line="280"/>
      </w:pPr>
      <w:r>
        <w:rPr>
          <w:rFonts w:ascii="Calibri" w:cs="Calibri" w:eastAsia="Calibri" w:hAnsi="Calibri"/>
          <w:color w:val="0E1A1C"/>
          <w:sz w:val="21"/>
          <w:szCs w:val="21"/>
        </w:rPr>
        <w:t xml:space="preserve">De vier MDM-stijlen bij naam, met invoeringslast en risico.</w:t>
      </w:r>
    </w:p>
    <w:p>
      <w:pPr>
        <w:pStyle w:val="ListParagraph"/>
        <w:numPr>
          <w:ilvl w:val="0"/>
          <w:numId w:val="3"/>
        </w:numPr>
        <w:spacing w:after="70" w:line="280"/>
      </w:pPr>
      <w:r>
        <w:rPr>
          <w:rFonts w:ascii="Calibri" w:cs="Calibri" w:eastAsia="Calibri" w:hAnsi="Calibri"/>
          <w:color w:val="0E1A1C"/>
          <w:sz w:val="21"/>
          <w:szCs w:val="21"/>
        </w:rPr>
        <w:t xml:space="preserve">Matching: deterministisch versus probabilistisch, en de rol van drempelwaarden.</w:t>
      </w:r>
    </w:p>
    <w:p>
      <w:pPr>
        <w:pStyle w:val="ListParagraph"/>
        <w:numPr>
          <w:ilvl w:val="0"/>
          <w:numId w:val="3"/>
        </w:numPr>
        <w:spacing w:after="70" w:line="280"/>
      </w:pPr>
      <w:r>
        <w:rPr>
          <w:rFonts w:ascii="Calibri" w:cs="Calibri" w:eastAsia="Calibri" w:hAnsi="Calibri"/>
          <w:color w:val="0E1A1C"/>
          <w:sz w:val="21"/>
          <w:szCs w:val="21"/>
        </w:rPr>
        <w:t xml:space="preserve">Survivorship en het onderscheid tussen golden record en system of record.</w:t>
      </w:r>
    </w:p>
    <w:p>
      <w:pPr>
        <w:pStyle w:val="ListParagraph"/>
        <w:numPr>
          <w:ilvl w:val="0"/>
          <w:numId w:val="3"/>
        </w:numPr>
        <w:spacing w:after="70" w:line="280"/>
      </w:pPr>
      <w:r>
        <w:rPr>
          <w:rFonts w:ascii="Calibri" w:cs="Calibri" w:eastAsia="Calibri" w:hAnsi="Calibri"/>
          <w:color w:val="0E1A1C"/>
          <w:sz w:val="21"/>
          <w:szCs w:val="21"/>
        </w:rPr>
        <w:t xml:space="preserve">Referentiedatabeheer, versiebeheer en mapping tussen codestelsels.</w:t>
      </w:r>
    </w:p>
    <w:p>
      <w:pPr>
        <w:pStyle w:val="ListParagraph"/>
        <w:numPr>
          <w:ilvl w:val="0"/>
          <w:numId w:val="3"/>
        </w:numPr>
        <w:spacing w:after="70" w:line="280"/>
      </w:pPr>
      <w:r>
        <w:rPr>
          <w:rFonts w:ascii="Calibri" w:cs="Calibri" w:eastAsia="Calibri" w:hAnsi="Calibri"/>
          <w:color w:val="0E1A1C"/>
          <w:sz w:val="21"/>
          <w:szCs w:val="21"/>
        </w:rPr>
        <w:t xml:space="preserve">Engels: golden record, system of record, survivorship, match rate, false positive, blocking, code set, cross-reference.</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reference and master data management in de DAMA-DMBOK2 Revised Edition — tijdens het examen het enige toegestane hulpmiddel, in papier óf digitaal.</w:t>
            </w:r>
          </w:p>
          <w:p>
            <w:pPr>
              <w:spacing w:after="60" w:line="280"/>
            </w:pPr>
            <w:r>
              <w:rPr>
                <w:rFonts w:ascii="Calibri" w:cs="Calibri" w:eastAsia="Calibri" w:hAnsi="Calibri"/>
                <w:color w:val="0E1A1C"/>
                <w:sz w:val="20"/>
                <w:szCs w:val="20"/>
              </w:rPr>
              <w:t xml:space="preserve">Examenopzet en de actuele lijst met specialistexamens: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14 — Master- en referentiedatamanagement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en referentiedatamanagement — Deelnemersreader</dc:title>
  <dc:creator>Ductus B.V.</dc:creator>
  <dc:description>Cursusmateriaal datamanagement, data-analyse en data governance</dc:description>
  <cp:lastModifiedBy>Un-named</cp:lastModifiedBy>
  <cp:revision>1</cp:revision>
  <dcterms:created xsi:type="dcterms:W3CDTF">2026-08-05T10:35:03.344Z</dcterms:created>
  <dcterms:modified xsi:type="dcterms:W3CDTF">2026-08-05T10:35:03.344Z</dcterms:modified>
</cp:coreProperties>
</file>

<file path=docProps/custom.xml><?xml version="1.0" encoding="utf-8"?>
<Properties xmlns="http://schemas.openxmlformats.org/officeDocument/2006/custom-properties" xmlns:vt="http://schemas.openxmlformats.org/officeDocument/2006/docPropsVTypes"/>
</file>