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15</w:t>
      </w:r>
    </w:p>
    <w:p>
      <w:pPr>
        <w:spacing w:after="120"/>
      </w:pPr>
      <w:r>
        <w:rPr>
          <w:rFonts w:ascii="Cambria" w:cs="Cambria" w:eastAsia="Cambria" w:hAnsi="Cambria"/>
          <w:b/>
          <w:bCs/>
          <w:color w:val="0E1A1C"/>
          <w:sz w:val="56"/>
          <w:szCs w:val="56"/>
        </w:rPr>
        <w:t xml:space="preserve">Datakwaliteitsmanagement als proces</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Oefendatabase, regelsjabloon, incidentdossier voor de root cause analysis</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15 gelezen; deel 4 en 14 afgerond, en de bevindingen uit deel 4 meegenomen.</w:t>
      </w:r>
    </w:p>
    <w:p>
      <w:pPr>
        <w:pStyle w:val="ListParagraph"/>
        <w:numPr>
          <w:ilvl w:val="0"/>
          <w:numId w:val="2"/>
        </w:numPr>
        <w:spacing w:after="70" w:line="280"/>
      </w:pPr>
      <w:r>
        <w:rPr>
          <w:rFonts w:ascii="Calibri" w:cs="Calibri" w:eastAsia="Calibri" w:hAnsi="Calibri"/>
          <w:color w:val="0E1A1C"/>
          <w:sz w:val="21"/>
          <w:szCs w:val="21"/>
        </w:rPr>
        <w:t xml:space="preserve">Opdracht 1 en 2 gemaakt, met werkende toegang tot de oefendatabase. Controleer dat bij binnenkomst.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Het incidentdossier voor opdracht 3: de kwartaalrapportage wijkt 2.310 records af van de vorige. Neem erin op: een gewijzigde peildatum, de 340 weeskinderen, een aangepaste CASE-expressie in het laadscript, en een medewerker die zegt dat er "niets is veranderd". Meerdere verklaringen moeten plausibel lijken; alleen de combinatie klopt.</w:t>
      </w:r>
    </w:p>
    <w:p>
      <w:pPr>
        <w:pStyle w:val="ListParagraph"/>
        <w:numPr>
          <w:ilvl w:val="0"/>
          <w:numId w:val="2"/>
        </w:numPr>
        <w:spacing w:after="70" w:line="280"/>
      </w:pPr>
      <w:r>
        <w:rPr>
          <w:rFonts w:ascii="Calibri" w:cs="Calibri" w:eastAsia="Calibri" w:hAnsi="Calibri"/>
          <w:color w:val="0E1A1C"/>
          <w:sz w:val="21"/>
          <w:szCs w:val="21"/>
        </w:rPr>
        <w:t xml:space="preserve">Een regelsjabloon met velden voor identificatie, conditie, drempel als parameter, ernst, eigenaar en versie.</w:t>
      </w:r>
    </w:p>
    <w:p>
      <w:pPr>
        <w:pStyle w:val="ListParagraph"/>
        <w:numPr>
          <w:ilvl w:val="0"/>
          <w:numId w:val="2"/>
        </w:numPr>
        <w:spacing w:after="70" w:line="280"/>
      </w:pPr>
      <w:r>
        <w:rPr>
          <w:rFonts w:ascii="Calibri" w:cs="Calibri" w:eastAsia="Calibri" w:hAnsi="Calibri"/>
          <w:color w:val="0E1A1C"/>
          <w:sz w:val="21"/>
          <w:szCs w:val="21"/>
        </w:rPr>
        <w:t xml:space="preserve">De bevindingenlijst uit deel 4 als terugvaloptie voor wie niets heeft meegenomen.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4 leerde een bevinding onderbouwen; dit deel maakt er een proces van. Deel 14 leverde de queue-ontwerpvraag die hier terugkomt bij remediatie, deel 13 het begrippenkader waarnaar het data contract verwijst, en deel 16 het besluitrecht waarmee normen worden vastgesteld. Samen met deel 4 is dit de kern van de voorbereiding op het specialistexamen Data Quality.</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één rapportage, geen proces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de kwaliteitsrapportage van Meridiaan en de procestoets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Meetplan en regels als code,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normstelling afgeleid van gebruik</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root cause analysis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Grijp in zodra men bij de eerste plausibele verklaring stopt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1:55–2:50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remediatie-workflow</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splitsing correctie/preventie af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2:50–3:45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data contract</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consequentie bij overtreding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3:45–4:35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dashboard</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Eigenaar en remediatiestatus zijn niet optioneel</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4:35–5:00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borging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Meetplan opstellen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twaalf elementen, met per element één tot drie regels.</w:t>
      </w:r>
    </w:p>
    <w:p>
      <w:pPr>
        <w:pStyle w:val="ListParagraph"/>
        <w:numPr>
          <w:ilvl w:val="0"/>
          <w:numId w:val="2"/>
        </w:numPr>
        <w:spacing w:after="70" w:line="280"/>
      </w:pPr>
      <w:r>
        <w:rPr>
          <w:rFonts w:ascii="Calibri" w:cs="Calibri" w:eastAsia="Calibri" w:hAnsi="Calibri"/>
          <w:color w:val="0E1A1C"/>
          <w:sz w:val="21"/>
          <w:szCs w:val="21"/>
        </w:rPr>
        <w:t xml:space="preserve">Eén dimensie per regel; regels die er twee meten zijn gesplitst.</w:t>
      </w:r>
    </w:p>
    <w:p>
      <w:pPr>
        <w:pStyle w:val="ListParagraph"/>
        <w:numPr>
          <w:ilvl w:val="0"/>
          <w:numId w:val="2"/>
        </w:numPr>
        <w:spacing w:after="70" w:line="280"/>
      </w:pPr>
      <w:r>
        <w:rPr>
          <w:rFonts w:ascii="Calibri" w:cs="Calibri" w:eastAsia="Calibri" w:hAnsi="Calibri"/>
          <w:color w:val="0E1A1C"/>
          <w:sz w:val="21"/>
          <w:szCs w:val="21"/>
        </w:rPr>
        <w:t xml:space="preserve">Meetplek per regel verantwoord, met minstens twee regels op twee plekken.</w:t>
      </w:r>
    </w:p>
    <w:p>
      <w:pPr>
        <w:pStyle w:val="ListParagraph"/>
        <w:numPr>
          <w:ilvl w:val="0"/>
          <w:numId w:val="2"/>
        </w:numPr>
        <w:spacing w:after="70" w:line="280"/>
      </w:pPr>
      <w:r>
        <w:rPr>
          <w:rFonts w:ascii="Calibri" w:cs="Calibri" w:eastAsia="Calibri" w:hAnsi="Calibri"/>
          <w:color w:val="0E1A1C"/>
          <w:sz w:val="21"/>
          <w:szCs w:val="21"/>
        </w:rPr>
        <w:t xml:space="preserve">Normen afgeleid van het gebruik, met de afleiding opgeschreven.</w:t>
      </w:r>
    </w:p>
    <w:p>
      <w:pPr>
        <w:pStyle w:val="ListParagraph"/>
        <w:numPr>
          <w:ilvl w:val="0"/>
          <w:numId w:val="2"/>
        </w:numPr>
        <w:spacing w:after="70" w:line="280"/>
      </w:pPr>
      <w:r>
        <w:rPr>
          <w:rFonts w:ascii="Calibri" w:cs="Calibri" w:eastAsia="Calibri" w:hAnsi="Calibri"/>
          <w:color w:val="0E1A1C"/>
          <w:sz w:val="21"/>
          <w:szCs w:val="21"/>
        </w:rPr>
        <w:t xml:space="preserve">Een verwachting geformuleerd over het verschil tussen bron- en consumptiemeting.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Twintig elementen. Vraag hoeveel regels dat oplevert en wie die leest.</w:t>
      </w:r>
    </w:p>
    <w:p>
      <w:pPr>
        <w:pStyle w:val="ListParagraph"/>
        <w:numPr>
          <w:ilvl w:val="0"/>
          <w:numId w:val="2"/>
        </w:numPr>
        <w:spacing w:after="70" w:line="280"/>
      </w:pPr>
      <w:r>
        <w:rPr>
          <w:rFonts w:ascii="Calibri" w:cs="Calibri" w:eastAsia="Calibri" w:hAnsi="Calibri"/>
          <w:color w:val="0E1A1C"/>
          <w:sz w:val="21"/>
          <w:szCs w:val="21"/>
        </w:rPr>
        <w:t xml:space="preserve">Normen kiezen op ronde getallen zonder afleiding.</w:t>
      </w:r>
    </w:p>
    <w:p>
      <w:pPr>
        <w:pStyle w:val="ListParagraph"/>
        <w:numPr>
          <w:ilvl w:val="0"/>
          <w:numId w:val="2"/>
        </w:numPr>
        <w:spacing w:after="70" w:line="280"/>
      </w:pPr>
      <w:r>
        <w:rPr>
          <w:rFonts w:ascii="Calibri" w:cs="Calibri" w:eastAsia="Calibri" w:hAnsi="Calibri"/>
          <w:color w:val="0E1A1C"/>
          <w:sz w:val="21"/>
          <w:szCs w:val="21"/>
        </w:rPr>
        <w:t xml:space="preserve">Alleen in de consumptielaag meten; dan blijft de oorzaak onvindbaar.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verschil verwacht je tussen de meting bij de bron en dezelfde meting in de rapportage? En wat betekent het als er geen verschil is?</w:t>
            </w:r>
          </w:p>
        </w:tc>
      </w:tr>
    </w:tbl>
    <w:p>
      <w:pPr>
        <w:pStyle w:val="Heading2"/>
        <w:spacing w:after="140" w:before="340"/>
      </w:pPr>
      <w:r>
        <w:rPr>
          <w:rFonts w:ascii="Cambria" w:cs="Cambria" w:eastAsia="Cambria" w:hAnsi="Cambria"/>
          <w:b/>
          <w:bCs/>
          <w:color w:val="0E1A1C"/>
          <w:sz w:val="26"/>
          <w:szCs w:val="26"/>
        </w:rPr>
        <w:t xml:space="preserve">Opdracht 2 — Regels naar code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Zes werkende regels met alle zes elementen uit de reader.</w:t>
      </w:r>
    </w:p>
    <w:p>
      <w:pPr>
        <w:pStyle w:val="ListParagraph"/>
        <w:numPr>
          <w:ilvl w:val="0"/>
          <w:numId w:val="2"/>
        </w:numPr>
        <w:spacing w:after="70" w:line="280"/>
      </w:pPr>
      <w:r>
        <w:rPr>
          <w:rFonts w:ascii="Calibri" w:cs="Calibri" w:eastAsia="Calibri" w:hAnsi="Calibri"/>
          <w:color w:val="0E1A1C"/>
          <w:sz w:val="21"/>
          <w:szCs w:val="21"/>
        </w:rPr>
        <w:t xml:space="preserve">Drempel als parameter, niet hard in de code.</w:t>
      </w:r>
    </w:p>
    <w:p>
      <w:pPr>
        <w:pStyle w:val="ListParagraph"/>
        <w:numPr>
          <w:ilvl w:val="0"/>
          <w:numId w:val="2"/>
        </w:numPr>
        <w:spacing w:after="70" w:line="280"/>
      </w:pPr>
      <w:r>
        <w:rPr>
          <w:rFonts w:ascii="Calibri" w:cs="Calibri" w:eastAsia="Calibri" w:hAnsi="Calibri"/>
          <w:color w:val="0E1A1C"/>
          <w:sz w:val="21"/>
          <w:szCs w:val="21"/>
        </w:rPr>
        <w:t xml:space="preserve">Ernstniveau met een expliciete uitspraak over wie dat besluit neemt.</w:t>
      </w:r>
    </w:p>
    <w:p>
      <w:pPr>
        <w:pStyle w:val="ListParagraph"/>
        <w:numPr>
          <w:ilvl w:val="0"/>
          <w:numId w:val="2"/>
        </w:numPr>
        <w:spacing w:after="70" w:line="280"/>
      </w:pPr>
      <w:r>
        <w:rPr>
          <w:rFonts w:ascii="Calibri" w:cs="Calibri" w:eastAsia="Calibri" w:hAnsi="Calibri"/>
          <w:color w:val="0E1A1C"/>
          <w:sz w:val="21"/>
          <w:szCs w:val="21"/>
        </w:rPr>
        <w:t xml:space="preserve">Versiebeheer beargumenteerd vanuit reproduceerbaarheid van eerdere metingen.</w:t>
      </w:r>
    </w:p>
    <w:p>
      <w:pPr>
        <w:pStyle w:val="ListParagraph"/>
        <w:numPr>
          <w:ilvl w:val="0"/>
          <w:numId w:val="2"/>
        </w:numPr>
        <w:spacing w:after="70" w:line="280"/>
      </w:pPr>
      <w:r>
        <w:rPr>
          <w:rFonts w:ascii="Calibri" w:cs="Calibri" w:eastAsia="Calibri" w:hAnsi="Calibri"/>
          <w:color w:val="0E1A1C"/>
          <w:sz w:val="21"/>
          <w:szCs w:val="21"/>
        </w:rPr>
        <w:t xml:space="preserve">Uitkomsten vergeleken met de bevindingen uit deel 4, inclusief afwijkingen.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Conditie zowel in code als in proza. Die twee lopen uiteen; kies de code.</w:t>
      </w:r>
    </w:p>
    <w:p>
      <w:pPr>
        <w:pStyle w:val="ListParagraph"/>
        <w:numPr>
          <w:ilvl w:val="0"/>
          <w:numId w:val="2"/>
        </w:numPr>
        <w:spacing w:after="70" w:line="280"/>
      </w:pPr>
      <w:r>
        <w:rPr>
          <w:rFonts w:ascii="Calibri" w:cs="Calibri" w:eastAsia="Calibri" w:hAnsi="Calibri"/>
          <w:color w:val="0E1A1C"/>
          <w:sz w:val="21"/>
          <w:szCs w:val="21"/>
        </w:rPr>
        <w:t xml:space="preserve">Eigenaar weglaten omdat "dat later komt". Dan komt de melding bij niemand.</w:t>
      </w:r>
    </w:p>
    <w:p>
      <w:pPr>
        <w:pStyle w:val="ListParagraph"/>
        <w:numPr>
          <w:ilvl w:val="0"/>
          <w:numId w:val="2"/>
        </w:numPr>
        <w:spacing w:after="70" w:line="280"/>
      </w:pPr>
      <w:r>
        <w:rPr>
          <w:rFonts w:ascii="Calibri" w:cs="Calibri" w:eastAsia="Calibri" w:hAnsi="Calibri"/>
          <w:color w:val="0E1A1C"/>
          <w:sz w:val="21"/>
          <w:szCs w:val="21"/>
        </w:rPr>
        <w:t xml:space="preserve">Alle regels op stoppen zetten. Vraag wat dat betekent voor de nachtelijke verwerking.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jouw zes regels zou de hele rapportageketen stilleggen? Wie heeft daar ja tegen gezegd?</w:t>
            </w:r>
          </w:p>
        </w:tc>
      </w:tr>
    </w:tbl>
    <w:p>
      <w:pPr>
        <w:pStyle w:val="Heading2"/>
        <w:spacing w:after="140" w:before="340"/>
      </w:pPr>
      <w:r>
        <w:rPr>
          <w:rFonts w:ascii="Cambria" w:cs="Cambria" w:eastAsia="Cambria" w:hAnsi="Cambria"/>
          <w:b/>
          <w:bCs/>
          <w:color w:val="0E1A1C"/>
          <w:sz w:val="26"/>
          <w:szCs w:val="26"/>
        </w:rPr>
        <w:t xml:space="preserve">Opdracht 3 — Root cause analysis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Ketenanalyse eerst, met de acht vragen uit deel 3.</w:t>
      </w:r>
    </w:p>
    <w:p>
      <w:pPr>
        <w:pStyle w:val="ListParagraph"/>
        <w:numPr>
          <w:ilvl w:val="0"/>
          <w:numId w:val="2"/>
        </w:numPr>
        <w:spacing w:after="70" w:line="280"/>
      </w:pPr>
      <w:r>
        <w:rPr>
          <w:rFonts w:ascii="Calibri" w:cs="Calibri" w:eastAsia="Calibri" w:hAnsi="Calibri"/>
          <w:color w:val="0E1A1C"/>
          <w:sz w:val="21"/>
          <w:szCs w:val="21"/>
        </w:rPr>
        <w:t xml:space="preserve">Vijf keer waarom doorgezet tot voorbij de medewerker, tot bij het scherm of het proces.</w:t>
      </w:r>
    </w:p>
    <w:p>
      <w:pPr>
        <w:pStyle w:val="ListParagraph"/>
        <w:numPr>
          <w:ilvl w:val="0"/>
          <w:numId w:val="2"/>
        </w:numPr>
        <w:spacing w:after="70" w:line="280"/>
      </w:pPr>
      <w:r>
        <w:rPr>
          <w:rFonts w:ascii="Calibri" w:cs="Calibri" w:eastAsia="Calibri" w:hAnsi="Calibri"/>
          <w:color w:val="0E1A1C"/>
          <w:sz w:val="21"/>
          <w:szCs w:val="21"/>
        </w:rPr>
        <w:t xml:space="preserve">Visgraat met alle vijf categorieën gevuld, ook definitie.</w:t>
      </w:r>
    </w:p>
    <w:p>
      <w:pPr>
        <w:pStyle w:val="ListParagraph"/>
        <w:numPr>
          <w:ilvl w:val="0"/>
          <w:numId w:val="2"/>
        </w:numPr>
        <w:spacing w:after="70" w:line="280"/>
      </w:pPr>
      <w:r>
        <w:rPr>
          <w:rFonts w:ascii="Calibri" w:cs="Calibri" w:eastAsia="Calibri" w:hAnsi="Calibri"/>
          <w:color w:val="0E1A1C"/>
          <w:sz w:val="21"/>
          <w:szCs w:val="21"/>
        </w:rPr>
        <w:t xml:space="preserve">De ontdekking dat het geen enkelvoudige oorzaak is: peildatum, weeskinderen en de gewijzigde CASE dragen alle drie bij.</w:t>
      </w:r>
    </w:p>
    <w:p>
      <w:pPr>
        <w:pStyle w:val="ListParagraph"/>
        <w:numPr>
          <w:ilvl w:val="0"/>
          <w:numId w:val="2"/>
        </w:numPr>
        <w:spacing w:after="70" w:line="280"/>
      </w:pPr>
      <w:r>
        <w:rPr>
          <w:rFonts w:ascii="Calibri" w:cs="Calibri" w:eastAsia="Calibri" w:hAnsi="Calibri"/>
          <w:color w:val="0E1A1C"/>
          <w:sz w:val="21"/>
          <w:szCs w:val="21"/>
        </w:rPr>
        <w:t xml:space="preserve">Een expliciete vermelding van de aanvankelijk plausibele verklaring die het niet was.</w:t>
      </w:r>
    </w:p>
    <w:p>
      <w:pPr>
        <w:pStyle w:val="ListParagraph"/>
        <w:numPr>
          <w:ilvl w:val="0"/>
          <w:numId w:val="2"/>
        </w:numPr>
        <w:spacing w:after="70" w:line="280"/>
      </w:pPr>
      <w:r>
        <w:rPr>
          <w:rFonts w:ascii="Calibri" w:cs="Calibri" w:eastAsia="Calibri" w:hAnsi="Calibri"/>
          <w:color w:val="0E1A1C"/>
          <w:sz w:val="21"/>
          <w:szCs w:val="21"/>
        </w:rPr>
        <w:t xml:space="preserve">Eén preventieve en één corrigerende maatregel, met verschillende eigenaren.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Stoppen bij de eerste verklaring die klopt. Grijp in; het dossier is daarop gebouwd.</w:t>
      </w:r>
    </w:p>
    <w:p>
      <w:pPr>
        <w:pStyle w:val="ListParagraph"/>
        <w:numPr>
          <w:ilvl w:val="0"/>
          <w:numId w:val="2"/>
        </w:numPr>
        <w:spacing w:after="70" w:line="280"/>
      </w:pPr>
      <w:r>
        <w:rPr>
          <w:rFonts w:ascii="Calibri" w:cs="Calibri" w:eastAsia="Calibri" w:hAnsi="Calibri"/>
          <w:color w:val="0E1A1C"/>
          <w:sz w:val="21"/>
          <w:szCs w:val="21"/>
        </w:rPr>
        <w:t xml:space="preserve">De uitspraak "er is niets veranderd" voor waar aannemen zonder te toetsen.</w:t>
      </w:r>
    </w:p>
    <w:p>
      <w:pPr>
        <w:pStyle w:val="ListParagraph"/>
        <w:numPr>
          <w:ilvl w:val="0"/>
          <w:numId w:val="2"/>
        </w:numPr>
        <w:spacing w:after="70" w:line="280"/>
      </w:pPr>
      <w:r>
        <w:rPr>
          <w:rFonts w:ascii="Calibri" w:cs="Calibri" w:eastAsia="Calibri" w:hAnsi="Calibri"/>
          <w:color w:val="0E1A1C"/>
          <w:sz w:val="21"/>
          <w:szCs w:val="21"/>
        </w:rPr>
        <w:t xml:space="preserve">De definitiecategorie overslaan; de CASE-expressie is precies dat.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verklaring vond je eerst plausibel? Wat maakte dat je hem losliet?</w:t>
            </w:r>
          </w:p>
        </w:tc>
      </w:tr>
    </w:tbl>
    <w:p>
      <w:pPr>
        <w:pStyle w:val="Heading2"/>
        <w:spacing w:after="140" w:before="340"/>
      </w:pPr>
      <w:r>
        <w:rPr>
          <w:rFonts w:ascii="Cambria" w:cs="Cambria" w:eastAsia="Cambria" w:hAnsi="Cambria"/>
          <w:b/>
          <w:bCs/>
          <w:color w:val="0E1A1C"/>
          <w:sz w:val="26"/>
          <w:szCs w:val="26"/>
        </w:rPr>
        <w:t xml:space="preserve">Opdracht 4 — Remediatie-workflow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Prioritering op impact maal aantal geraakte records, met de DNB-bevinding als weging.</w:t>
      </w:r>
    </w:p>
    <w:p>
      <w:pPr>
        <w:pStyle w:val="ListParagraph"/>
        <w:numPr>
          <w:ilvl w:val="0"/>
          <w:numId w:val="2"/>
        </w:numPr>
        <w:spacing w:after="70" w:line="280"/>
      </w:pPr>
      <w:r>
        <w:rPr>
          <w:rFonts w:ascii="Calibri" w:cs="Calibri" w:eastAsia="Calibri" w:hAnsi="Calibri"/>
          <w:color w:val="0E1A1C"/>
          <w:sz w:val="21"/>
          <w:szCs w:val="21"/>
        </w:rPr>
        <w:t xml:space="preserve">Toewijzing door de data owner, uitvoering door de steward, verificatie door de meting zelf.</w:t>
      </w:r>
    </w:p>
    <w:p>
      <w:pPr>
        <w:pStyle w:val="ListParagraph"/>
        <w:numPr>
          <w:ilvl w:val="0"/>
          <w:numId w:val="2"/>
        </w:numPr>
        <w:spacing w:after="70" w:line="280"/>
      </w:pPr>
      <w:r>
        <w:rPr>
          <w:rFonts w:ascii="Calibri" w:cs="Calibri" w:eastAsia="Calibri" w:hAnsi="Calibri"/>
          <w:color w:val="0E1A1C"/>
          <w:sz w:val="21"/>
          <w:szCs w:val="21"/>
        </w:rPr>
        <w:t xml:space="preserve">Doorlooptijden per ernstniveau met escalatie.</w:t>
      </w:r>
    </w:p>
    <w:p>
      <w:pPr>
        <w:pStyle w:val="ListParagraph"/>
        <w:numPr>
          <w:ilvl w:val="0"/>
          <w:numId w:val="2"/>
        </w:numPr>
        <w:spacing w:after="70" w:line="280"/>
      </w:pPr>
      <w:r>
        <w:rPr>
          <w:rFonts w:ascii="Calibri" w:cs="Calibri" w:eastAsia="Calibri" w:hAnsi="Calibri"/>
          <w:color w:val="0E1A1C"/>
          <w:sz w:val="21"/>
          <w:szCs w:val="21"/>
        </w:rPr>
        <w:t xml:space="preserve">Correctie en preventie per bevinding gesplitst, met verschillende eigenaren en termijnen.</w:t>
      </w:r>
    </w:p>
    <w:p>
      <w:pPr>
        <w:pStyle w:val="ListParagraph"/>
        <w:numPr>
          <w:ilvl w:val="0"/>
          <w:numId w:val="2"/>
        </w:numPr>
        <w:spacing w:after="70" w:line="280"/>
      </w:pPr>
      <w:r>
        <w:rPr>
          <w:rFonts w:ascii="Calibri" w:cs="Calibri" w:eastAsia="Calibri" w:hAnsi="Calibri"/>
          <w:color w:val="0E1A1C"/>
          <w:sz w:val="21"/>
          <w:szCs w:val="21"/>
        </w:rPr>
        <w:t xml:space="preserve">Bewust-niet-oplossen als vastgelegde uitkomst met eigenaar en herzieningsdatum.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doorlooptijd voor alles. Dan wordt de urgente bevinding net zo traag behandeld als de rest.</w:t>
      </w:r>
    </w:p>
    <w:p>
      <w:pPr>
        <w:pStyle w:val="ListParagraph"/>
        <w:numPr>
          <w:ilvl w:val="0"/>
          <w:numId w:val="2"/>
        </w:numPr>
        <w:spacing w:after="70" w:line="280"/>
      </w:pPr>
      <w:r>
        <w:rPr>
          <w:rFonts w:ascii="Calibri" w:cs="Calibri" w:eastAsia="Calibri" w:hAnsi="Calibri"/>
          <w:color w:val="0E1A1C"/>
          <w:sz w:val="21"/>
          <w:szCs w:val="21"/>
        </w:rPr>
        <w:t xml:space="preserve">Verificatie als losse stap door een mens; laat de regel zichzelf verifiëren.</w:t>
      </w:r>
    </w:p>
    <w:p>
      <w:pPr>
        <w:pStyle w:val="ListParagraph"/>
        <w:numPr>
          <w:ilvl w:val="0"/>
          <w:numId w:val="2"/>
        </w:numPr>
        <w:spacing w:after="70" w:line="280"/>
      </w:pPr>
      <w:r>
        <w:rPr>
          <w:rFonts w:ascii="Calibri" w:cs="Calibri" w:eastAsia="Calibri" w:hAnsi="Calibri"/>
          <w:color w:val="0E1A1C"/>
          <w:sz w:val="21"/>
          <w:szCs w:val="21"/>
        </w:rPr>
        <w:t xml:space="preserve">Bevindingen laten liggen zonder besluit. Dat is de stille beleidswijziging uit deel 16.</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met een bevinding die je bewust niet oplost? En wie tekent daarvoor?</w:t>
            </w:r>
          </w:p>
        </w:tc>
      </w:tr>
    </w:tbl>
    <w:p>
      <w:pPr>
        <w:pStyle w:val="Heading2"/>
        <w:spacing w:after="140" w:before="340"/>
      </w:pPr>
      <w:r>
        <w:rPr>
          <w:rFonts w:ascii="Cambria" w:cs="Cambria" w:eastAsia="Cambria" w:hAnsi="Cambria"/>
          <w:b/>
          <w:bCs/>
          <w:color w:val="0E1A1C"/>
          <w:sz w:val="26"/>
          <w:szCs w:val="26"/>
        </w:rPr>
        <w:t xml:space="preserve">Opdracht 5 — Data contract opstellen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zeven onderdelen aanwezig, binnen twee A4.</w:t>
      </w:r>
    </w:p>
    <w:p>
      <w:pPr>
        <w:pStyle w:val="ListParagraph"/>
        <w:numPr>
          <w:ilvl w:val="0"/>
          <w:numId w:val="2"/>
        </w:numPr>
        <w:spacing w:after="70" w:line="280"/>
      </w:pPr>
      <w:r>
        <w:rPr>
          <w:rFonts w:ascii="Calibri" w:cs="Calibri" w:eastAsia="Calibri" w:hAnsi="Calibri"/>
          <w:color w:val="0E1A1C"/>
          <w:sz w:val="21"/>
          <w:szCs w:val="21"/>
        </w:rPr>
        <w:t xml:space="preserve">Semantiek via verwijzing naar het begrippenkader in plaats van herhaalde definities.</w:t>
      </w:r>
    </w:p>
    <w:p>
      <w:pPr>
        <w:pStyle w:val="ListParagraph"/>
        <w:numPr>
          <w:ilvl w:val="0"/>
          <w:numId w:val="2"/>
        </w:numPr>
        <w:spacing w:after="70" w:line="280"/>
      </w:pPr>
      <w:r>
        <w:rPr>
          <w:rFonts w:ascii="Calibri" w:cs="Calibri" w:eastAsia="Calibri" w:hAnsi="Calibri"/>
          <w:color w:val="0E1A1C"/>
          <w:sz w:val="21"/>
          <w:szCs w:val="21"/>
        </w:rPr>
        <w:t xml:space="preserve">Een aankondigingstermijn voor schemawijzigingen die past bij de doorlooptijd van de afnemer.</w:t>
      </w:r>
    </w:p>
    <w:p>
      <w:pPr>
        <w:pStyle w:val="ListParagraph"/>
        <w:numPr>
          <w:ilvl w:val="0"/>
          <w:numId w:val="2"/>
        </w:numPr>
        <w:spacing w:after="70" w:line="280"/>
      </w:pPr>
      <w:r>
        <w:rPr>
          <w:rFonts w:ascii="Calibri" w:cs="Calibri" w:eastAsia="Calibri" w:hAnsi="Calibri"/>
          <w:color w:val="0E1A1C"/>
          <w:sz w:val="21"/>
          <w:szCs w:val="21"/>
        </w:rPr>
        <w:t xml:space="preserve">Getrapte consequenties: melding, escalatie, en bij herhaling opschorten.</w:t>
      </w:r>
    </w:p>
    <w:p>
      <w:pPr>
        <w:pStyle w:val="ListParagraph"/>
        <w:numPr>
          <w:ilvl w:val="0"/>
          <w:numId w:val="2"/>
        </w:numPr>
        <w:spacing w:after="70" w:line="280"/>
      </w:pPr>
      <w:r>
        <w:rPr>
          <w:rFonts w:ascii="Calibri" w:cs="Calibri" w:eastAsia="Calibri" w:hAnsi="Calibri"/>
          <w:color w:val="0E1A1C"/>
          <w:sz w:val="21"/>
          <w:szCs w:val="21"/>
        </w:rPr>
        <w:t xml:space="preserve">Ondertekenaars op ownerniveau aan beide kanten.</w:t>
      </w:r>
    </w:p>
    <w:p>
      <w:pPr>
        <w:pStyle w:val="ListParagraph"/>
        <w:numPr>
          <w:ilvl w:val="0"/>
          <w:numId w:val="2"/>
        </w:numPr>
        <w:spacing w:after="70" w:line="280"/>
      </w:pPr>
      <w:r>
        <w:rPr>
          <w:rFonts w:ascii="Calibri" w:cs="Calibri" w:eastAsia="Calibri" w:hAnsi="Calibri"/>
          <w:color w:val="0E1A1C"/>
          <w:sz w:val="21"/>
          <w:szCs w:val="21"/>
        </w:rPr>
        <w:t xml:space="preserve">De weigering om te tekenen behandeld als informatie.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Definities overschrijven in het contract. Bij een wijziging lopen ze uiteen.</w:t>
      </w:r>
    </w:p>
    <w:p>
      <w:pPr>
        <w:pStyle w:val="ListParagraph"/>
        <w:numPr>
          <w:ilvl w:val="0"/>
          <w:numId w:val="2"/>
        </w:numPr>
        <w:spacing w:after="70" w:line="280"/>
      </w:pPr>
      <w:r>
        <w:rPr>
          <w:rFonts w:ascii="Calibri" w:cs="Calibri" w:eastAsia="Calibri" w:hAnsi="Calibri"/>
          <w:color w:val="0E1A1C"/>
          <w:sz w:val="21"/>
          <w:szCs w:val="21"/>
        </w:rPr>
        <w:t xml:space="preserve">Geen consequentie bij overtreding. Dan is het een verwachting op papier.</w:t>
      </w:r>
    </w:p>
    <w:p>
      <w:pPr>
        <w:pStyle w:val="ListParagraph"/>
        <w:numPr>
          <w:ilvl w:val="0"/>
          <w:numId w:val="2"/>
        </w:numPr>
        <w:spacing w:after="70" w:line="280"/>
      </w:pPr>
      <w:r>
        <w:rPr>
          <w:rFonts w:ascii="Calibri" w:cs="Calibri" w:eastAsia="Calibri" w:hAnsi="Calibri"/>
          <w:color w:val="0E1A1C"/>
          <w:sz w:val="21"/>
          <w:szCs w:val="21"/>
        </w:rPr>
        <w:t xml:space="preserve">Tekenen door de projectleider in plaats van de data owner.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Zou jij een levering daadwerkelijk opschorten? En zo niet, wat is je consequentie dan waard?</w:t>
            </w:r>
          </w:p>
        </w:tc>
      </w:tr>
    </w:tbl>
    <w:p>
      <w:pPr>
        <w:pStyle w:val="Heading2"/>
        <w:spacing w:after="140" w:before="340"/>
      </w:pPr>
      <w:r>
        <w:rPr>
          <w:rFonts w:ascii="Cambria" w:cs="Cambria" w:eastAsia="Cambria" w:hAnsi="Cambria"/>
          <w:b/>
          <w:bCs/>
          <w:color w:val="0E1A1C"/>
          <w:sz w:val="26"/>
          <w:szCs w:val="26"/>
        </w:rPr>
        <w:t xml:space="preserve">Opdracht 6 — Kwaliteitsdashboard</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Rapportage per kritiek data-element in herkenbare taal.</w:t>
      </w:r>
    </w:p>
    <w:p>
      <w:pPr>
        <w:pStyle w:val="ListParagraph"/>
        <w:numPr>
          <w:ilvl w:val="0"/>
          <w:numId w:val="2"/>
        </w:numPr>
        <w:spacing w:after="70" w:line="280"/>
      </w:pPr>
      <w:r>
        <w:rPr>
          <w:rFonts w:ascii="Calibri" w:cs="Calibri" w:eastAsia="Calibri" w:hAnsi="Calibri"/>
          <w:color w:val="0E1A1C"/>
          <w:sz w:val="21"/>
          <w:szCs w:val="21"/>
        </w:rPr>
        <w:t xml:space="preserve">Norm naast score, en trend naast stand.</w:t>
      </w:r>
    </w:p>
    <w:p>
      <w:pPr>
        <w:pStyle w:val="ListParagraph"/>
        <w:numPr>
          <w:ilvl w:val="0"/>
          <w:numId w:val="2"/>
        </w:numPr>
        <w:spacing w:after="70" w:line="280"/>
      </w:pPr>
      <w:r>
        <w:rPr>
          <w:rFonts w:ascii="Calibri" w:cs="Calibri" w:eastAsia="Calibri" w:hAnsi="Calibri"/>
          <w:color w:val="0E1A1C"/>
          <w:sz w:val="21"/>
          <w:szCs w:val="21"/>
        </w:rPr>
        <w:t xml:space="preserve">Eigenaar en remediatiestatus per afwijking.</w:t>
      </w:r>
    </w:p>
    <w:p>
      <w:pPr>
        <w:pStyle w:val="ListParagraph"/>
        <w:numPr>
          <w:ilvl w:val="0"/>
          <w:numId w:val="2"/>
        </w:numPr>
        <w:spacing w:after="70" w:line="280"/>
      </w:pPr>
      <w:r>
        <w:rPr>
          <w:rFonts w:ascii="Calibri" w:cs="Calibri" w:eastAsia="Calibri" w:hAnsi="Calibri"/>
          <w:color w:val="0E1A1C"/>
          <w:sz w:val="21"/>
          <w:szCs w:val="21"/>
        </w:rPr>
        <w:t xml:space="preserve">Expliciete vermelding van wat niet wordt gemeten.</w:t>
      </w:r>
    </w:p>
    <w:p>
      <w:pPr>
        <w:pStyle w:val="ListParagraph"/>
        <w:numPr>
          <w:ilvl w:val="0"/>
          <w:numId w:val="2"/>
        </w:numPr>
        <w:spacing w:after="70" w:line="280"/>
      </w:pPr>
      <w:r>
        <w:rPr>
          <w:rFonts w:ascii="Calibri" w:cs="Calibri" w:eastAsia="Calibri" w:hAnsi="Calibri"/>
          <w:color w:val="0E1A1C"/>
          <w:sz w:val="21"/>
          <w:szCs w:val="21"/>
        </w:rPr>
        <w:t xml:space="preserve">Drie getallen op de eerste rij, gekozen op besluitrelevantie.</w:t>
      </w:r>
    </w:p>
    <w:p>
      <w:pPr>
        <w:pStyle w:val="ListParagraph"/>
        <w:numPr>
          <w:ilvl w:val="0"/>
          <w:numId w:val="2"/>
        </w:numPr>
        <w:spacing w:after="70" w:line="280"/>
      </w:pPr>
      <w:r>
        <w:rPr>
          <w:rFonts w:ascii="Calibri" w:cs="Calibri" w:eastAsia="Calibri" w:hAnsi="Calibri"/>
          <w:color w:val="0E1A1C"/>
          <w:sz w:val="21"/>
          <w:szCs w:val="21"/>
        </w:rPr>
        <w:t xml:space="preserve">Een gevraagd besluit van de board, niet alleen een presentatie.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Rapporteren per tabel of per systeem. De board herkent dat niet.</w:t>
      </w:r>
    </w:p>
    <w:p>
      <w:pPr>
        <w:pStyle w:val="ListParagraph"/>
        <w:numPr>
          <w:ilvl w:val="0"/>
          <w:numId w:val="2"/>
        </w:numPr>
        <w:spacing w:after="70" w:line="280"/>
      </w:pPr>
      <w:r>
        <w:rPr>
          <w:rFonts w:ascii="Calibri" w:cs="Calibri" w:eastAsia="Calibri" w:hAnsi="Calibri"/>
          <w:color w:val="0E1A1C"/>
          <w:sz w:val="21"/>
          <w:szCs w:val="21"/>
        </w:rPr>
        <w:t xml:space="preserve">Eigenaar en status weglaten; dan is het een klaagmuur.</w:t>
      </w:r>
    </w:p>
    <w:p>
      <w:pPr>
        <w:pStyle w:val="ListParagraph"/>
        <w:numPr>
          <w:ilvl w:val="0"/>
          <w:numId w:val="2"/>
        </w:numPr>
        <w:spacing w:after="70" w:line="280"/>
      </w:pPr>
      <w:r>
        <w:rPr>
          <w:rFonts w:ascii="Calibri" w:cs="Calibri" w:eastAsia="Calibri" w:hAnsi="Calibri"/>
          <w:color w:val="0E1A1C"/>
          <w:sz w:val="21"/>
          <w:szCs w:val="21"/>
        </w:rPr>
        <w:t xml:space="preserve">Alle vierentwintig elementen tonen. Kies er drie voor de eerste rij.</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besluit vraag je van de board? En wat gebeurt er als ze het niet nemen?</w:t>
            </w:r>
          </w:p>
        </w:tc>
      </w:tr>
    </w:tbl>
    <w:p>
      <w:pPr>
        <w:pStyle w:val="Heading2"/>
        <w:spacing w:after="140" w:before="340"/>
      </w:pPr>
      <w:r>
        <w:rPr>
          <w:rFonts w:ascii="Cambria" w:cs="Cambria" w:eastAsia="Cambria" w:hAnsi="Cambria"/>
          <w:b/>
          <w:bCs/>
          <w:color w:val="0E1A1C"/>
          <w:sz w:val="26"/>
          <w:szCs w:val="26"/>
        </w:rPr>
        <w:t xml:space="preserve">Opdracht 7 — Van project naar proces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zes borgingspunten uitgewerkt, met namen en tijdsbeslag.</w:t>
      </w:r>
    </w:p>
    <w:p>
      <w:pPr>
        <w:pStyle w:val="ListParagraph"/>
        <w:numPr>
          <w:ilvl w:val="0"/>
          <w:numId w:val="2"/>
        </w:numPr>
        <w:spacing w:after="70" w:line="280"/>
      </w:pPr>
      <w:r>
        <w:rPr>
          <w:rFonts w:ascii="Calibri" w:cs="Calibri" w:eastAsia="Calibri" w:hAnsi="Calibri"/>
          <w:color w:val="0E1A1C"/>
          <w:sz w:val="21"/>
          <w:szCs w:val="21"/>
        </w:rPr>
        <w:t xml:space="preserve">Monitoring op de meting zelf — dat punt wordt het vaakst gemist.</w:t>
      </w:r>
    </w:p>
    <w:p>
      <w:pPr>
        <w:pStyle w:val="ListParagraph"/>
        <w:numPr>
          <w:ilvl w:val="0"/>
          <w:numId w:val="2"/>
        </w:numPr>
        <w:spacing w:after="70" w:line="280"/>
      </w:pPr>
      <w:r>
        <w:rPr>
          <w:rFonts w:ascii="Calibri" w:cs="Calibri" w:eastAsia="Calibri" w:hAnsi="Calibri"/>
          <w:color w:val="0E1A1C"/>
          <w:sz w:val="21"/>
          <w:szCs w:val="21"/>
        </w:rPr>
        <w:t xml:space="preserve">De rapportage op een bestaand overleg, niet op een programmaoverleg.</w:t>
      </w:r>
    </w:p>
    <w:p>
      <w:pPr>
        <w:pStyle w:val="ListParagraph"/>
        <w:numPr>
          <w:ilvl w:val="0"/>
          <w:numId w:val="2"/>
        </w:numPr>
        <w:spacing w:after="70" w:line="280"/>
      </w:pPr>
      <w:r>
        <w:rPr>
          <w:rFonts w:ascii="Calibri" w:cs="Calibri" w:eastAsia="Calibri" w:hAnsi="Calibri"/>
          <w:color w:val="0E1A1C"/>
          <w:sz w:val="21"/>
          <w:szCs w:val="21"/>
        </w:rPr>
        <w:t xml:space="preserve">Een wijzigingsproces voor regels met dezelfde stappen als het begripsproces.</w:t>
      </w:r>
    </w:p>
    <w:p>
      <w:pPr>
        <w:pStyle w:val="ListParagraph"/>
        <w:numPr>
          <w:ilvl w:val="0"/>
          <w:numId w:val="2"/>
        </w:numPr>
        <w:spacing w:after="70" w:line="280"/>
      </w:pPr>
      <w:r>
        <w:rPr>
          <w:rFonts w:ascii="Calibri" w:cs="Calibri" w:eastAsia="Calibri" w:hAnsi="Calibri"/>
          <w:color w:val="0E1A1C"/>
          <w:sz w:val="21"/>
          <w:szCs w:val="21"/>
        </w:rPr>
        <w:t xml:space="preserve">De procestoets daadwerkelijk uitgevoerd en eerlijk beantwoord.</w:t>
      </w:r>
    </w:p>
    <w:p>
      <w:pPr>
        <w:pStyle w:val="ListParagraph"/>
        <w:numPr>
          <w:ilvl w:val="0"/>
          <w:numId w:val="2"/>
        </w:numPr>
        <w:spacing w:after="70" w:line="280"/>
      </w:pPr>
      <w:r>
        <w:rPr>
          <w:rFonts w:ascii="Calibri" w:cs="Calibri" w:eastAsia="Calibri" w:hAnsi="Calibri"/>
          <w:color w:val="0E1A1C"/>
          <w:sz w:val="21"/>
          <w:szCs w:val="21"/>
        </w:rPr>
        <w:t xml:space="preserve">Een overdrachtsmoment met datum en een lijst van wat er wordt overgedragen.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monitoring op de meting overslaan. Een meting die stilvalt, valt stil in stilte.</w:t>
      </w:r>
    </w:p>
    <w:p>
      <w:pPr>
        <w:pStyle w:val="ListParagraph"/>
        <w:numPr>
          <w:ilvl w:val="0"/>
          <w:numId w:val="2"/>
        </w:numPr>
        <w:spacing w:after="70" w:line="280"/>
      </w:pPr>
      <w:r>
        <w:rPr>
          <w:rFonts w:ascii="Calibri" w:cs="Calibri" w:eastAsia="Calibri" w:hAnsi="Calibri"/>
          <w:color w:val="0E1A1C"/>
          <w:sz w:val="21"/>
          <w:szCs w:val="21"/>
        </w:rPr>
        <w:t xml:space="preserve">Eigenaren aanwijzen die dat zelf niet weten. Vraag of het gesprek is gevoerd.</w:t>
      </w:r>
    </w:p>
    <w:p>
      <w:pPr>
        <w:pStyle w:val="ListParagraph"/>
        <w:numPr>
          <w:ilvl w:val="0"/>
          <w:numId w:val="2"/>
        </w:numPr>
        <w:spacing w:after="70" w:line="280"/>
      </w:pPr>
      <w:r>
        <w:rPr>
          <w:rFonts w:ascii="Calibri" w:cs="Calibri" w:eastAsia="Calibri" w:hAnsi="Calibri"/>
          <w:color w:val="0E1A1C"/>
          <w:sz w:val="21"/>
          <w:szCs w:val="21"/>
        </w:rPr>
        <w:t xml:space="preserve">Het overdrachtsmoment openlaten. Zonder datum blijft het programma bestaan tot het budget op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Wanneer ben jij klaar? Zet er een datum bij en verdedig die.</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Welke twee stappen van de kwaliteitscyclus doen organisaties meestal wél?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Meten en analyseren</w:t>
      </w:r>
    </w:p>
    <w:p>
      <w:pPr>
        <w:spacing w:after="40" w:line="275"/>
        <w:ind w:left="420"/>
      </w:pPr>
      <w:r>
        <w:rPr>
          <w:rFonts w:ascii="Calibri" w:cs="Calibri" w:eastAsia="Calibri" w:hAnsi="Calibri"/>
          <w:color w:val="5F7375"/>
          <w:sz w:val="19"/>
          <w:szCs w:val="19"/>
        </w:rPr>
        <w:t xml:space="preserve">Definiëren, verbeteren en borgen zijn waar de blijvende verandering zit — en die worden overgeslagen.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de toets of je een proces hebt gebouwd?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Of de meting over een jaar nog draait zonder handmatige start, en of iemand het merkt als hij stopt</w:t>
      </w:r>
    </w:p>
    <w:p>
      <w:pPr>
        <w:spacing w:after="40" w:line="275"/>
        <w:ind w:left="420"/>
      </w:pPr>
      <w:r>
        <w:rPr>
          <w:rFonts w:ascii="Calibri" w:cs="Calibri" w:eastAsia="Calibri" w:hAnsi="Calibri"/>
          <w:color w:val="5F7375"/>
          <w:sz w:val="19"/>
          <w:szCs w:val="19"/>
        </w:rPr>
        <w:t xml:space="preserve">Is het antwoord op één van beide nee, dan is het een project — hoe goed de eerste rapportage ook was.</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meet je op minstens twee plekken in de keten?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het verschil tussen bron en consumptie zelf een bevinding is</w:t>
      </w:r>
    </w:p>
    <w:p>
      <w:pPr>
        <w:spacing w:after="40" w:line="275"/>
        <w:ind w:left="420"/>
      </w:pPr>
      <w:r>
        <w:rPr>
          <w:rFonts w:ascii="Calibri" w:cs="Calibri" w:eastAsia="Calibri" w:hAnsi="Calibri"/>
          <w:color w:val="5F7375"/>
          <w:sz w:val="19"/>
          <w:szCs w:val="19"/>
        </w:rPr>
        <w:t xml:space="preserve">Meten bij de bron alleen laat ketenverliezen onzichtbaar; meten in de consumptielaag alleen laat je de oorzaak nooit vinden.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Waarom zet je een drempel als parameter en niet hard in de code?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een normwijziging anders een release vraagt en de norm dus nooit meer wordt aangepast.</w:t>
      </w:r>
    </w:p>
    <w:p>
      <w:pPr>
        <w:spacing w:after="40" w:line="275"/>
        <w:ind w:left="420"/>
      </w:pPr>
      <w:r>
        <w:rPr>
          <w:rFonts w:ascii="Calibri" w:cs="Calibri" w:eastAsia="Calibri" w:hAnsi="Calibri"/>
          <w:color w:val="5F7375"/>
          <w:sz w:val="19"/>
          <w:szCs w:val="19"/>
        </w:rPr>
        <w:t xml:space="preserve">Een norm die niet aangepast kan worden, veroudert en verliest zijn betekenis.</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Wie bepaalt of een kwaliteitsregel de verwerking stopt of alleen meldt?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business, want het is een afweging tussen foute data en een stilliggende keten</w:t>
      </w:r>
    </w:p>
    <w:p>
      <w:pPr>
        <w:spacing w:after="40" w:line="275"/>
        <w:ind w:left="420"/>
      </w:pPr>
      <w:r>
        <w:rPr>
          <w:rFonts w:ascii="Calibri" w:cs="Calibri" w:eastAsia="Calibri" w:hAnsi="Calibri"/>
          <w:color w:val="5F7375"/>
          <w:sz w:val="19"/>
          <w:szCs w:val="19"/>
        </w:rPr>
        <w:t xml:space="preserve">Bij een incident is de eerste vraag wie dat besluit heeft genomen. Leg het per regel vast.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het probleem met "de medewerker vulde het verkeerd in" als oorzaak?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een symptoom; vraag door tot je bij het scherm of het proces bent.</w:t>
      </w:r>
    </w:p>
    <w:p>
      <w:pPr>
        <w:spacing w:after="40" w:line="275"/>
        <w:ind w:left="420"/>
      </w:pPr>
      <w:r>
        <w:rPr>
          <w:rFonts w:ascii="Calibri" w:cs="Calibri" w:eastAsia="Calibri" w:hAnsi="Calibri"/>
          <w:color w:val="5F7375"/>
          <w:sz w:val="19"/>
          <w:szCs w:val="19"/>
        </w:rPr>
        <w:t xml:space="preserve">Een goede analyse eindigt bij een oorzaakcategorie én een aanwijsbare plek.</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Waarom hoort elke bevinding zowel een correctie als een preventie te krijgen?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Wie alleen corrigeert herhaalt dat elk kwartaal; wie alleen voorkomt laat de bestaande fouten staan.</w:t>
      </w:r>
    </w:p>
    <w:p>
      <w:pPr>
        <w:spacing w:after="40" w:line="275"/>
        <w:ind w:left="420"/>
      </w:pPr>
      <w:r>
        <w:rPr>
          <w:rFonts w:ascii="Calibri" w:cs="Calibri" w:eastAsia="Calibri" w:hAnsi="Calibri"/>
          <w:color w:val="5F7375"/>
          <w:sz w:val="19"/>
          <w:szCs w:val="19"/>
        </w:rPr>
        <w:t xml:space="preserve">Ze hebben doorgaans verschillende eigenaren en verschillende doorlooptijden.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Waarom falen data contracts meestal?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Er hangt geen consequentie aan een overtreding.</w:t>
      </w:r>
    </w:p>
    <w:p>
      <w:pPr>
        <w:spacing w:after="40" w:line="275"/>
        <w:ind w:left="420"/>
      </w:pPr>
      <w:r>
        <w:rPr>
          <w:rFonts w:ascii="Calibri" w:cs="Calibri" w:eastAsia="Calibri" w:hAnsi="Calibri"/>
          <w:color w:val="5F7375"/>
          <w:sz w:val="19"/>
          <w:szCs w:val="19"/>
        </w:rPr>
        <w:t xml:space="preserve">Een contract zonder afgesproken gevolg is een verwachting op papier.</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Een leverancier weigert een data contract te tekenen. Wat betekent dat doorgaans?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hij de afspraak niet kan waarmaken — en dat is beter vooraf bekend.</w:t>
      </w:r>
    </w:p>
    <w:p>
      <w:pPr>
        <w:spacing w:after="40" w:line="275"/>
        <w:ind w:left="420"/>
      </w:pPr>
      <w:r>
        <w:rPr>
          <w:rFonts w:ascii="Calibri" w:cs="Calibri" w:eastAsia="Calibri" w:hAnsi="Calibri"/>
          <w:color w:val="5F7375"/>
          <w:sz w:val="19"/>
          <w:szCs w:val="19"/>
        </w:rPr>
        <w:t xml:space="preserve">De weigering is informatie, geen obstakel.</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maakt een kwaliteitsdashboard tot een klaagmuur?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ontbreken van eigenaar en remediatiestatus per afwijking</w:t>
      </w:r>
    </w:p>
    <w:p>
      <w:pPr>
        <w:spacing w:after="40" w:line="275"/>
        <w:ind w:left="420"/>
      </w:pPr>
      <w:r>
        <w:rPr>
          <w:rFonts w:ascii="Calibri" w:cs="Calibri" w:eastAsia="Calibri" w:hAnsi="Calibri"/>
          <w:color w:val="5F7375"/>
          <w:sz w:val="19"/>
          <w:szCs w:val="19"/>
        </w:rPr>
        <w:t xml:space="preserve">Zonder die twee kan de board alleen constateren — en dan verdwijnt de rapportage van de agenda.</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rapporteer je per kritiek data-element in plaats van per tabel?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lezer herkent "e-mailadres deelnemer" en niet "lz_pas_deelnemer.dlnm_eml".</w:t>
      </w:r>
    </w:p>
    <w:p>
      <w:pPr>
        <w:spacing w:after="40" w:line="275"/>
        <w:ind w:left="420"/>
      </w:pPr>
      <w:r>
        <w:rPr>
          <w:rFonts w:ascii="Calibri" w:cs="Calibri" w:eastAsia="Calibri" w:hAnsi="Calibri"/>
          <w:color w:val="5F7375"/>
          <w:sz w:val="19"/>
          <w:szCs w:val="19"/>
        </w:rPr>
        <w:t xml:space="preserve">Een dashboard dat de lezer niet herkent, leidt niet tot actie.</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is de belangrijkste voorwaarde voor borging?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eigenaar in de lijn per regel, die dat ook weet</w:t>
      </w:r>
    </w:p>
    <w:p>
      <w:pPr>
        <w:spacing w:after="40" w:line="275"/>
        <w:ind w:left="420"/>
      </w:pPr>
      <w:r>
        <w:rPr>
          <w:rFonts w:ascii="Calibri" w:cs="Calibri" w:eastAsia="Calibri" w:hAnsi="Calibri"/>
          <w:color w:val="5F7375"/>
          <w:sz w:val="19"/>
          <w:szCs w:val="19"/>
        </w:rPr>
        <w:t xml:space="preserve">Ligt het eigenaarschap bij het programma, dan stopt de meting zodra het programma eindigt.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het aanvaardbaar dat een kwaliteitsregel de hele rapportageketen stillegt?</w:t>
      </w:r>
    </w:p>
    <w:p>
      <w:pPr>
        <w:pStyle w:val="ListParagraph"/>
        <w:numPr>
          <w:ilvl w:val="0"/>
          <w:numId w:val="3"/>
        </w:numPr>
        <w:spacing w:after="70" w:line="280"/>
      </w:pPr>
      <w:r>
        <w:rPr>
          <w:rFonts w:ascii="Calibri" w:cs="Calibri" w:eastAsia="Calibri" w:hAnsi="Calibri"/>
          <w:color w:val="0E1A1C"/>
          <w:sz w:val="21"/>
          <w:szCs w:val="21"/>
        </w:rPr>
        <w:t xml:space="preserve">Wie zou de norm moeten vaststellen: de leverancier van de data of de afnemer?</w:t>
      </w:r>
    </w:p>
    <w:p>
      <w:pPr>
        <w:pStyle w:val="ListParagraph"/>
        <w:numPr>
          <w:ilvl w:val="0"/>
          <w:numId w:val="3"/>
        </w:numPr>
        <w:spacing w:after="70" w:line="280"/>
      </w:pPr>
      <w:r>
        <w:rPr>
          <w:rFonts w:ascii="Calibri" w:cs="Calibri" w:eastAsia="Calibri" w:hAnsi="Calibri"/>
          <w:color w:val="0E1A1C"/>
          <w:sz w:val="21"/>
          <w:szCs w:val="21"/>
        </w:rPr>
        <w:t xml:space="preserve">Zou een organisatie een data contract met een interne afdeling moeten sluiten, of is dat wantrouwen institutionaliseren?</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haar kwaliteitsrapportage van de agenda is verdwenen?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2 een regel schrijven die de verdeling van een veld toetst in plaats van losse waarden.</w:t>
      </w:r>
    </w:p>
    <w:p>
      <w:pPr>
        <w:pStyle w:val="ListParagraph"/>
        <w:numPr>
          <w:ilvl w:val="0"/>
          <w:numId w:val="2"/>
        </w:numPr>
        <w:spacing w:after="70" w:line="280"/>
      </w:pPr>
      <w:r>
        <w:rPr>
          <w:rFonts w:ascii="Calibri" w:cs="Calibri" w:eastAsia="Calibri" w:hAnsi="Calibri"/>
          <w:color w:val="0E1A1C"/>
          <w:sz w:val="21"/>
          <w:szCs w:val="21"/>
        </w:rPr>
        <w:t xml:space="preserve">Vraag om bij opdracht 5 een tweede contract op te stellen voor de levering aan een externe vermogensbeheerder, met de verschillen benoemd.</w:t>
      </w:r>
    </w:p>
    <w:p>
      <w:pPr>
        <w:pStyle w:val="ListParagraph"/>
        <w:numPr>
          <w:ilvl w:val="0"/>
          <w:numId w:val="2"/>
        </w:numPr>
        <w:spacing w:after="70" w:line="280"/>
      </w:pPr>
      <w:r>
        <w:rPr>
          <w:rFonts w:ascii="Calibri" w:cs="Calibri" w:eastAsia="Calibri" w:hAnsi="Calibri"/>
          <w:color w:val="0E1A1C"/>
          <w:sz w:val="21"/>
          <w:szCs w:val="21"/>
        </w:rPr>
        <w:t xml:space="preserve">Laat opdracht 3 nogmaals doen met een dossier waarin de oorzaak wél enkelvoudig is, en de aanpak vergelijken.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1 tot zes elementen.</w:t>
      </w:r>
    </w:p>
    <w:p>
      <w:pPr>
        <w:pStyle w:val="ListParagraph"/>
        <w:numPr>
          <w:ilvl w:val="0"/>
          <w:numId w:val="2"/>
        </w:numPr>
        <w:spacing w:after="70" w:line="280"/>
      </w:pPr>
      <w:r>
        <w:rPr>
          <w:rFonts w:ascii="Calibri" w:cs="Calibri" w:eastAsia="Calibri" w:hAnsi="Calibri"/>
          <w:color w:val="0E1A1C"/>
          <w:sz w:val="21"/>
          <w:szCs w:val="21"/>
        </w:rPr>
        <w:t xml:space="preserve">Geef bij opdracht 2 twee voorbeeldregels volledig; de overige vier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3 plenair doen, met de docent als gespreksleider.</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tool moet ik kunnen?"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enkele voor het examen. In de praktijk: de tool die al in je landschap draait, mits regels erin versioneerbaar zijn.</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streng moet een drempel zijn?"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Leid hem af van het gebruik. Werkt het proces bij 97 procent, dan is dat de norm — niet 100 en niet een rond getal.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elke bevinding worden opgelost?"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Bewust niet oplossen is legitiem, mits vastgelegd met eigenaar en herzieningsdatum.</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een data contract juridisch bindend?"</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Intern doorgaans niet, en dat is niet het punt. Het gaat om expliciete verwachtingen en een afgesproken gevolg.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15 — Datakwaliteitsmanagement als proces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Datakwaliteitsmanagement als proces — Docentenhandleiding</dc:title>
  <dc:creator>Ductus B.V.</dc:creator>
  <dc:description>Cursusmateriaal datamanagement, data-analyse en data governance</dc:description>
  <cp:lastModifiedBy>Un-named</cp:lastModifiedBy>
  <cp:revision>1</cp:revision>
  <dcterms:created xsi:type="dcterms:W3CDTF">2026-08-05T10:35:03.675Z</dcterms:created>
  <dcterms:modified xsi:type="dcterms:W3CDTF">2026-08-05T10:35:03.675Z</dcterms:modified>
</cp:coreProperties>
</file>

<file path=docProps/custom.xml><?xml version="1.0" encoding="utf-8"?>
<Properties xmlns="http://schemas.openxmlformats.org/officeDocument/2006/custom-properties" xmlns:vt="http://schemas.openxmlformats.org/officeDocument/2006/docPropsVTypes"/>
</file>